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72"/>
          <w:szCs w:val="72"/>
        </w:rPr>
      </w:pPr>
    </w:p>
    <w:p>
      <w:pPr>
        <w:pStyle w:val="2"/>
        <w:ind w:left="0" w:leftChars="0" w:firstLine="0" w:firstLineChars="0"/>
        <w:rPr>
          <w:rFonts w:hint="eastAsia" w:ascii="方正小标宋简体" w:hAnsi="方正小标宋简体" w:eastAsia="方正小标宋简体" w:cs="方正小标宋简体"/>
          <w:sz w:val="72"/>
          <w:szCs w:val="72"/>
        </w:rPr>
      </w:pPr>
    </w:p>
    <w:p>
      <w:pPr>
        <w:jc w:val="center"/>
        <w:rPr>
          <w:rFonts w:hint="eastAsia" w:ascii="黑体" w:hAnsi="黑体" w:eastAsia="黑体" w:cs="黑体"/>
          <w:b/>
          <w:bCs/>
          <w:sz w:val="72"/>
          <w:szCs w:val="72"/>
        </w:rPr>
      </w:pPr>
      <w:r>
        <w:rPr>
          <w:rFonts w:hint="eastAsia" w:ascii="黑体" w:hAnsi="黑体" w:eastAsia="黑体" w:cs="黑体"/>
          <w:b/>
          <w:bCs/>
          <w:sz w:val="72"/>
          <w:szCs w:val="72"/>
        </w:rPr>
        <w:t>全国职业院校技能大赛</w:t>
      </w:r>
    </w:p>
    <w:p>
      <w:pPr>
        <w:jc w:val="center"/>
        <w:rPr>
          <w:rFonts w:hint="eastAsia" w:ascii="黑体" w:hAnsi="黑体" w:eastAsia="黑体" w:cs="黑体"/>
          <w:b/>
          <w:bCs/>
          <w:sz w:val="72"/>
          <w:szCs w:val="72"/>
        </w:rPr>
      </w:pPr>
      <w:r>
        <w:rPr>
          <w:rFonts w:hint="eastAsia" w:ascii="黑体" w:hAnsi="黑体" w:eastAsia="黑体" w:cs="黑体"/>
          <w:b/>
          <w:bCs/>
          <w:sz w:val="72"/>
          <w:szCs w:val="72"/>
        </w:rPr>
        <w:t>赛项规程</w:t>
      </w:r>
    </w:p>
    <w:p>
      <w:pPr>
        <w:pStyle w:val="8"/>
        <w:rPr>
          <w:rFonts w:hint="eastAsia" w:ascii="方正小标宋简体" w:hAnsi="方正小标宋简体" w:eastAsia="方正小标宋简体" w:cs="方正小标宋简体"/>
          <w:sz w:val="72"/>
          <w:szCs w:val="72"/>
        </w:rPr>
      </w:pPr>
    </w:p>
    <w:p>
      <w:pPr>
        <w:pStyle w:val="8"/>
        <w:rPr>
          <w:rFonts w:hint="eastAsia" w:ascii="方正小标宋简体" w:hAnsi="方正小标宋简体" w:eastAsia="方正小标宋简体" w:cs="方正小标宋简体"/>
          <w:sz w:val="72"/>
          <w:szCs w:val="72"/>
        </w:rPr>
      </w:pPr>
    </w:p>
    <w:p>
      <w:pPr>
        <w:pStyle w:val="8"/>
        <w:rPr>
          <w:rFonts w:hint="eastAsia" w:ascii="方正小标宋简体" w:hAnsi="方正小标宋简体" w:eastAsia="方正小标宋简体" w:cs="方正小标宋简体"/>
          <w:sz w:val="72"/>
          <w:szCs w:val="72"/>
        </w:rPr>
      </w:pPr>
    </w:p>
    <w:p>
      <w:pPr>
        <w:pStyle w:val="8"/>
        <w:rPr>
          <w:rFonts w:hint="eastAsia" w:ascii="方正小标宋简体" w:hAnsi="方正小标宋简体" w:eastAsia="方正小标宋简体" w:cs="方正小标宋简体"/>
          <w:sz w:val="72"/>
          <w:szCs w:val="72"/>
        </w:rPr>
      </w:pPr>
    </w:p>
    <w:p>
      <w:pPr>
        <w:spacing w:line="800" w:lineRule="exact"/>
        <w:ind w:firstLine="960" w:firstLineChars="300"/>
        <w:rPr>
          <w:rFonts w:hint="eastAsia" w:ascii="黑体" w:hAnsi="黑体" w:eastAsia="黑体" w:cs="黑体"/>
          <w:b w:val="0"/>
          <w:bCs w:val="0"/>
          <w:sz w:val="32"/>
          <w:szCs w:val="24"/>
          <w:u w:val="single"/>
          <w:lang w:eastAsia="zh-CN"/>
        </w:rPr>
      </w:pPr>
      <w:r>
        <w:rPr>
          <w:rFonts w:hint="eastAsia" w:ascii="黑体" w:hAnsi="黑体" w:eastAsia="黑体" w:cs="黑体"/>
          <w:b w:val="0"/>
          <w:bCs w:val="0"/>
          <w:sz w:val="32"/>
          <w:szCs w:val="24"/>
        </w:rPr>
        <w:t>赛项名称：</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sz w:val="32"/>
          <w:szCs w:val="24"/>
          <w:u w:val="single"/>
          <w:lang w:val="en-US" w:eastAsia="zh-CN"/>
        </w:rPr>
        <w:t xml:space="preserve">  </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sz w:val="32"/>
          <w:szCs w:val="32"/>
          <w:u w:val="single"/>
          <w:lang w:val="en-US" w:eastAsia="zh-CN"/>
        </w:rPr>
        <w:t>智慧金融</w:t>
      </w:r>
      <w:r>
        <w:rPr>
          <w:rFonts w:hint="eastAsia" w:ascii="黑体" w:hAnsi="黑体" w:eastAsia="黑体" w:cs="黑体"/>
          <w:b w:val="0"/>
          <w:bCs w:val="0"/>
          <w:sz w:val="28"/>
          <w:szCs w:val="28"/>
          <w:u w:val="single"/>
        </w:rPr>
        <w:t xml:space="preserve"> </w:t>
      </w:r>
      <w:r>
        <w:rPr>
          <w:rFonts w:hint="eastAsia" w:ascii="黑体" w:hAnsi="黑体" w:eastAsia="黑体" w:cs="黑体"/>
          <w:b w:val="0"/>
          <w:bCs w:val="0"/>
          <w:sz w:val="32"/>
          <w:szCs w:val="24"/>
          <w:u w:val="single"/>
        </w:rPr>
        <w:t xml:space="preserve">           </w:t>
      </w:r>
    </w:p>
    <w:p>
      <w:pPr>
        <w:spacing w:line="800" w:lineRule="exact"/>
        <w:ind w:firstLine="960" w:firstLineChars="300"/>
        <w:rPr>
          <w:rFonts w:hint="eastAsia" w:ascii="黑体" w:hAnsi="黑体" w:eastAsia="黑体" w:cs="黑体"/>
          <w:b w:val="0"/>
          <w:bCs w:val="0"/>
          <w:sz w:val="32"/>
          <w:szCs w:val="24"/>
          <w:lang w:val="en-US" w:eastAsia="zh-CN"/>
        </w:rPr>
      </w:pPr>
      <w:r>
        <w:rPr>
          <w:rFonts w:hint="eastAsia" w:ascii="黑体" w:hAnsi="黑体" w:eastAsia="黑体" w:cs="黑体"/>
          <w:b w:val="0"/>
          <w:bCs w:val="0"/>
          <w:sz w:val="32"/>
          <w:szCs w:val="24"/>
        </w:rPr>
        <w:t>英文名称：</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sz w:val="32"/>
          <w:szCs w:val="24"/>
          <w:u w:val="single"/>
          <w:lang w:val="en-US" w:eastAsia="zh-CN"/>
        </w:rPr>
        <w:t xml:space="preserve">  </w:t>
      </w:r>
      <w:r>
        <w:rPr>
          <w:rFonts w:hint="eastAsia" w:ascii="黑体" w:hAnsi="黑体" w:eastAsia="黑体" w:cs="黑体"/>
          <w:b w:val="0"/>
          <w:bCs w:val="0"/>
          <w:color w:val="auto"/>
          <w:sz w:val="32"/>
          <w:szCs w:val="32"/>
          <w:u w:val="single"/>
        </w:rPr>
        <w:t>Smart Finance</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sz w:val="32"/>
          <w:szCs w:val="24"/>
          <w:u w:val="single"/>
          <w:lang w:val="en-US" w:eastAsia="zh-CN"/>
        </w:rPr>
        <w:t xml:space="preserve">   </w:t>
      </w:r>
      <w:r>
        <w:rPr>
          <w:rFonts w:hint="eastAsia" w:ascii="黑体" w:hAnsi="黑体" w:eastAsia="黑体" w:cs="黑体"/>
          <w:b w:val="0"/>
          <w:bCs w:val="0"/>
          <w:sz w:val="32"/>
          <w:szCs w:val="24"/>
          <w:u w:val="single"/>
        </w:rPr>
        <w:t xml:space="preserve"> </w:t>
      </w:r>
    </w:p>
    <w:p>
      <w:pPr>
        <w:spacing w:line="800" w:lineRule="exact"/>
        <w:ind w:firstLine="960" w:firstLineChars="300"/>
        <w:rPr>
          <w:rFonts w:hint="eastAsia" w:ascii="黑体" w:hAnsi="黑体" w:eastAsia="黑体" w:cs="黑体"/>
          <w:b w:val="0"/>
          <w:bCs w:val="0"/>
          <w:sz w:val="32"/>
          <w:szCs w:val="24"/>
          <w:lang w:eastAsia="zh-CN"/>
        </w:rPr>
      </w:pPr>
      <w:r>
        <w:rPr>
          <w:rFonts w:hint="eastAsia" w:ascii="黑体" w:hAnsi="黑体" w:eastAsia="黑体" w:cs="黑体"/>
          <w:b w:val="0"/>
          <w:bCs w:val="0"/>
          <w:sz w:val="32"/>
          <w:szCs w:val="24"/>
          <w:lang w:val="en-US" w:eastAsia="zh-CN"/>
        </w:rPr>
        <w:t>赛项组别</w:t>
      </w:r>
      <w:r>
        <w:rPr>
          <w:rFonts w:hint="eastAsia" w:ascii="黑体" w:hAnsi="黑体" w:eastAsia="黑体" w:cs="黑体"/>
          <w:b w:val="0"/>
          <w:bCs w:val="0"/>
          <w:sz w:val="32"/>
          <w:szCs w:val="24"/>
        </w:rPr>
        <w:t>：</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color w:val="auto"/>
          <w:sz w:val="32"/>
          <w:szCs w:val="32"/>
          <w:u w:val="single"/>
        </w:rPr>
        <w:t>高</w:t>
      </w:r>
      <w:r>
        <w:rPr>
          <w:rFonts w:hint="eastAsia" w:ascii="黑体" w:hAnsi="黑体" w:eastAsia="黑体" w:cs="黑体"/>
          <w:b w:val="0"/>
          <w:bCs w:val="0"/>
          <w:color w:val="auto"/>
          <w:sz w:val="32"/>
          <w:szCs w:val="32"/>
          <w:u w:val="single"/>
          <w:lang w:val="en-US" w:eastAsia="zh-CN"/>
        </w:rPr>
        <w:t>等职业教育</w:t>
      </w:r>
      <w:r>
        <w:rPr>
          <w:rFonts w:hint="eastAsia" w:ascii="黑体" w:hAnsi="黑体" w:eastAsia="黑体" w:cs="黑体"/>
          <w:b w:val="0"/>
          <w:bCs w:val="0"/>
          <w:sz w:val="32"/>
          <w:szCs w:val="24"/>
          <w:u w:val="single"/>
        </w:rPr>
        <w:t xml:space="preserve">          </w:t>
      </w:r>
    </w:p>
    <w:p>
      <w:pPr>
        <w:spacing w:line="800" w:lineRule="exact"/>
        <w:ind w:firstLine="960" w:firstLineChars="300"/>
        <w:rPr>
          <w:rFonts w:hint="eastAsia" w:ascii="黑体" w:hAnsi="黑体" w:eastAsia="黑体" w:cs="黑体"/>
          <w:sz w:val="32"/>
          <w:szCs w:val="24"/>
        </w:rPr>
      </w:pPr>
      <w:r>
        <w:rPr>
          <w:rFonts w:hint="eastAsia" w:ascii="黑体" w:hAnsi="黑体" w:eastAsia="黑体" w:cs="黑体"/>
          <w:b w:val="0"/>
          <w:bCs w:val="0"/>
          <w:sz w:val="32"/>
          <w:szCs w:val="24"/>
        </w:rPr>
        <w:t>赛项编号：</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sz w:val="32"/>
          <w:szCs w:val="24"/>
          <w:u w:val="single"/>
          <w:lang w:val="en-US" w:eastAsia="zh-CN"/>
        </w:rPr>
        <w:t xml:space="preserve">  </w:t>
      </w:r>
      <w:r>
        <w:rPr>
          <w:rFonts w:hint="eastAsia" w:ascii="黑体" w:hAnsi="黑体" w:eastAsia="黑体" w:cs="黑体"/>
          <w:b w:val="0"/>
          <w:bCs w:val="0"/>
          <w:sz w:val="32"/>
          <w:szCs w:val="24"/>
          <w:u w:val="single"/>
        </w:rPr>
        <w:t xml:space="preserve">  </w:t>
      </w:r>
      <w:r>
        <w:rPr>
          <w:rFonts w:hint="eastAsia" w:ascii="黑体" w:hAnsi="黑体" w:eastAsia="黑体" w:cs="黑体"/>
          <w:b w:val="0"/>
          <w:bCs w:val="0"/>
          <w:color w:val="auto"/>
          <w:sz w:val="32"/>
          <w:szCs w:val="32"/>
          <w:u w:val="single"/>
        </w:rPr>
        <w:t>GZ</w:t>
      </w:r>
      <w:r>
        <w:rPr>
          <w:rFonts w:hint="eastAsia" w:ascii="黑体" w:hAnsi="黑体" w:eastAsia="黑体" w:cs="黑体"/>
          <w:b w:val="0"/>
          <w:bCs w:val="0"/>
          <w:color w:val="auto"/>
          <w:sz w:val="32"/>
          <w:szCs w:val="32"/>
          <w:u w:val="single"/>
          <w:lang w:val="en-US" w:eastAsia="zh-CN"/>
        </w:rPr>
        <w:t>044</w:t>
      </w:r>
      <w:r>
        <w:rPr>
          <w:rFonts w:hint="eastAsia" w:ascii="黑体" w:hAnsi="黑体" w:eastAsia="黑体" w:cs="黑体"/>
          <w:b w:val="0"/>
          <w:bCs w:val="0"/>
          <w:sz w:val="32"/>
          <w:szCs w:val="24"/>
          <w:u w:val="single"/>
        </w:rPr>
        <w:t xml:space="preserve"> </w:t>
      </w:r>
      <w:r>
        <w:rPr>
          <w:rFonts w:hint="eastAsia" w:ascii="黑体" w:hAnsi="黑体" w:eastAsia="黑体" w:cs="黑体"/>
          <w:sz w:val="32"/>
          <w:szCs w:val="24"/>
          <w:u w:val="single"/>
        </w:rPr>
        <w:t xml:space="preserve">         </w:t>
      </w:r>
      <w:r>
        <w:rPr>
          <w:rFonts w:hint="eastAsia" w:ascii="黑体" w:hAnsi="黑体" w:eastAsia="黑体" w:cs="黑体"/>
          <w:sz w:val="32"/>
          <w:szCs w:val="24"/>
          <w:u w:val="single"/>
          <w:lang w:val="en-US" w:eastAsia="zh-CN"/>
        </w:rPr>
        <w:t xml:space="preserve">    </w:t>
      </w:r>
    </w:p>
    <w:p>
      <w:pPr>
        <w:widowControl/>
        <w:jc w:val="left"/>
        <w:rPr>
          <w:rFonts w:hint="eastAsia" w:ascii="黑体" w:eastAsia="黑体"/>
          <w:sz w:val="32"/>
        </w:rPr>
        <w:sectPr>
          <w:footerReference r:id="rId3" w:type="default"/>
          <w:pgSz w:w="11906" w:h="16838"/>
          <w:pgMar w:top="1240" w:right="1800" w:bottom="1318"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ind w:firstLine="640" w:firstLineChars="200"/>
        <w:jc w:val="left"/>
        <w:outlineLvl w:val="0"/>
        <w:rPr>
          <w:rFonts w:eastAsia="仿宋_GB2312"/>
          <w:sz w:val="28"/>
        </w:rPr>
      </w:pPr>
      <w:r>
        <w:rPr>
          <w:rFonts w:hint="eastAsia" w:ascii="黑体" w:eastAsia="黑体"/>
          <w:sz w:val="32"/>
        </w:rPr>
        <w:t>一、赛项信息</w:t>
      </w:r>
    </w:p>
    <w:tbl>
      <w:tblPr>
        <w:tblStyle w:val="16"/>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99"/>
        <w:gridCol w:w="726"/>
        <w:gridCol w:w="1305"/>
        <w:gridCol w:w="4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b/>
                <w:sz w:val="28"/>
                <w:szCs w:val="28"/>
              </w:rPr>
              <w:t>赛项类别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52"/>
            </w:r>
            <w:r>
              <w:rPr>
                <w:rFonts w:hint="default" w:ascii="仿宋_GB2312" w:hAnsi="仿宋_GB2312" w:eastAsia="仿宋_GB2312" w:cs="仿宋_GB2312"/>
                <w:sz w:val="24"/>
                <w:szCs w:val="24"/>
              </w:rPr>
              <w:t>每年</w:t>
            </w:r>
            <w:r>
              <w:rPr>
                <w:rFonts w:hint="eastAsia" w:ascii="仿宋_GB2312" w:hAnsi="仿宋_GB2312" w:eastAsia="仿宋_GB2312" w:cs="仿宋_GB2312"/>
                <w:sz w:val="24"/>
                <w:szCs w:val="24"/>
              </w:rPr>
              <w:t xml:space="preserve">赛    </w:t>
            </w:r>
            <w:r>
              <w:rPr>
                <w:rFonts w:hint="eastAsia" w:ascii="仿宋_GB2312" w:hAnsi="仿宋_GB2312" w:eastAsia="仿宋_GB2312" w:cs="仿宋_GB2312"/>
                <w:sz w:val="24"/>
                <w:szCs w:val="24"/>
              </w:rPr>
              <w:sym w:font="Wingdings 2" w:char="00A3"/>
            </w:r>
            <w:r>
              <w:rPr>
                <w:rFonts w:hint="default" w:ascii="仿宋_GB2312" w:hAnsi="仿宋_GB2312" w:eastAsia="仿宋_GB2312" w:cs="仿宋_GB2312"/>
                <w:sz w:val="24"/>
                <w:szCs w:val="24"/>
              </w:rPr>
              <w:t>隔年</w:t>
            </w:r>
            <w:r>
              <w:rPr>
                <w:rFonts w:hint="eastAsia" w:ascii="仿宋_GB2312" w:hAnsi="仿宋_GB2312" w:eastAsia="仿宋_GB2312" w:cs="仿宋_GB2312"/>
                <w:sz w:val="24"/>
                <w:szCs w:val="24"/>
              </w:rPr>
              <w:t>赛</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CN"/>
              </w:rPr>
              <w:t>单</w:t>
            </w:r>
            <w:r>
              <w:rPr>
                <w:rFonts w:hint="default" w:ascii="仿宋_GB2312" w:hAnsi="仿宋_GB2312" w:eastAsia="仿宋_GB2312" w:cs="仿宋_GB2312"/>
                <w:sz w:val="24"/>
                <w:szCs w:val="24"/>
              </w:rPr>
              <w:t>数年/</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CN"/>
              </w:rPr>
              <w:t>双</w:t>
            </w:r>
            <w:r>
              <w:rPr>
                <w:rFonts w:hint="default" w:ascii="仿宋_GB2312" w:hAnsi="仿宋_GB2312" w:eastAsia="仿宋_GB2312" w:cs="仿宋_GB2312"/>
                <w:sz w:val="24"/>
                <w:szCs w:val="24"/>
              </w:rPr>
              <w:t>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b/>
                <w:sz w:val="28"/>
                <w:szCs w:val="28"/>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b/>
                <w:sz w:val="28"/>
                <w:szCs w:val="28"/>
              </w:rPr>
            </w:pPr>
            <w:r>
              <w:rPr>
                <w:rFonts w:hint="eastAsia" w:ascii="仿宋_GB2312" w:hAnsi="仿宋_GB2312" w:eastAsia="仿宋_GB2312" w:cs="仿宋_GB2312"/>
                <w:sz w:val="24"/>
                <w:szCs w:val="24"/>
              </w:rPr>
              <w:t xml:space="preserve">□中等职业教育   </w:t>
            </w:r>
            <w:r>
              <w:rPr>
                <w:rFonts w:hint="eastAsia" w:ascii="仿宋_GB2312" w:hAnsi="仿宋_GB2312" w:eastAsia="仿宋_GB2312" w:cs="仿宋_GB2312"/>
                <w:sz w:val="24"/>
                <w:szCs w:val="24"/>
              </w:rPr>
              <w:sym w:font="Wingdings 2" w:char="0052"/>
            </w:r>
            <w:r>
              <w:rPr>
                <w:rFonts w:hint="eastAsia" w:ascii="仿宋_GB2312" w:hAnsi="仿宋_GB2312" w:eastAsia="仿宋_GB2312" w:cs="仿宋_GB2312"/>
                <w:sz w:val="24"/>
                <w:szCs w:val="24"/>
              </w:rPr>
              <w:t>高等职业教育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sym w:font="Wingdings 2" w:char="0052"/>
            </w:r>
            <w:r>
              <w:rPr>
                <w:rFonts w:hint="default" w:ascii="仿宋_GB2312" w:hAnsi="仿宋_GB2312" w:eastAsia="仿宋_GB2312" w:cs="仿宋_GB2312"/>
                <w:sz w:val="24"/>
                <w:szCs w:val="24"/>
                <w:lang w:eastAsia="zh-CN"/>
              </w:rPr>
              <w:t>学生赛（</w:t>
            </w:r>
            <w:r>
              <w:rPr>
                <w:rFonts w:hint="eastAsia" w:ascii="仿宋_GB2312" w:hAnsi="仿宋_GB2312" w:eastAsia="仿宋_GB2312" w:cs="仿宋_GB2312"/>
                <w:sz w:val="24"/>
                <w:szCs w:val="24"/>
              </w:rPr>
              <w:t>□</w:t>
            </w:r>
            <w:r>
              <w:rPr>
                <w:rFonts w:hint="default" w:ascii="仿宋_GB2312" w:hAnsi="仿宋_GB2312" w:eastAsia="仿宋_GB2312" w:cs="仿宋_GB2312"/>
                <w:sz w:val="24"/>
                <w:szCs w:val="24"/>
                <w:lang w:eastAsia="zh-CN"/>
              </w:rPr>
              <w:t>个人/</w:t>
            </w:r>
            <w:r>
              <w:rPr>
                <w:rFonts w:hint="eastAsia" w:ascii="仿宋_GB2312" w:hAnsi="仿宋_GB2312" w:eastAsia="仿宋_GB2312" w:cs="仿宋_GB2312"/>
                <w:sz w:val="24"/>
                <w:szCs w:val="24"/>
              </w:rPr>
              <w:sym w:font="Wingdings 2" w:char="0052"/>
            </w:r>
            <w:r>
              <w:rPr>
                <w:rFonts w:hint="default" w:ascii="仿宋_GB2312" w:hAnsi="仿宋_GB2312" w:eastAsia="仿宋_GB2312" w:cs="仿宋_GB2312"/>
                <w:sz w:val="24"/>
                <w:szCs w:val="24"/>
                <w:lang w:eastAsia="zh-CN"/>
              </w:rPr>
              <w:t>团体）</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教师赛</w:t>
            </w:r>
            <w:r>
              <w:rPr>
                <w:rFonts w:hint="default"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试点</w:t>
            </w:r>
            <w:r>
              <w:rPr>
                <w:rFonts w:hint="default"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师生同</w:t>
            </w:r>
            <w:r>
              <w:rPr>
                <w:rFonts w:hint="default" w:ascii="仿宋_GB2312" w:hAnsi="仿宋_GB2312" w:eastAsia="仿宋_GB2312" w:cs="仿宋_GB2312"/>
                <w:sz w:val="24"/>
                <w:szCs w:val="24"/>
                <w:lang w:eastAsia="zh-CN"/>
              </w:rPr>
              <w:t>赛（</w:t>
            </w:r>
            <w:r>
              <w:rPr>
                <w:rFonts w:hint="eastAsia" w:ascii="仿宋_GB2312" w:hAnsi="仿宋_GB2312" w:eastAsia="仿宋_GB2312" w:cs="仿宋_GB2312"/>
                <w:sz w:val="24"/>
                <w:szCs w:val="24"/>
                <w:lang w:val="en-US" w:eastAsia="zh-CN"/>
              </w:rPr>
              <w:t>试点</w:t>
            </w:r>
            <w:r>
              <w:rPr>
                <w:rFonts w:hint="default" w:ascii="仿宋_GB2312" w:hAnsi="仿宋_GB2312"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b/>
                <w:sz w:val="28"/>
                <w:szCs w:val="28"/>
              </w:rPr>
              <w:t>涉及专业大类、专业类、专业及核心课程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1384" w:type="dxa"/>
            <w:vAlign w:val="center"/>
          </w:tcPr>
          <w:p>
            <w:pPr>
              <w:adjustRightInd w:val="0"/>
              <w:snapToGrid w:val="0"/>
              <w:spacing w:line="240"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专业大类</w:t>
            </w:r>
          </w:p>
        </w:tc>
        <w:tc>
          <w:tcPr>
            <w:tcW w:w="1499" w:type="dxa"/>
            <w:vAlign w:val="center"/>
          </w:tcPr>
          <w:p>
            <w:pPr>
              <w:adjustRightInd w:val="0"/>
              <w:snapToGrid w:val="0"/>
              <w:spacing w:line="240"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专业类</w:t>
            </w:r>
          </w:p>
        </w:tc>
        <w:tc>
          <w:tcPr>
            <w:tcW w:w="2031" w:type="dxa"/>
            <w:gridSpan w:val="2"/>
            <w:vAlign w:val="center"/>
          </w:tcPr>
          <w:p>
            <w:pPr>
              <w:adjustRightInd w:val="0"/>
              <w:snapToGrid w:val="0"/>
              <w:spacing w:line="240" w:lineRule="auto"/>
              <w:jc w:val="center"/>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专业名称</w:t>
            </w:r>
          </w:p>
        </w:tc>
        <w:tc>
          <w:tcPr>
            <w:tcW w:w="4164" w:type="dxa"/>
            <w:vAlign w:val="center"/>
          </w:tcPr>
          <w:p>
            <w:pPr>
              <w:adjustRightInd w:val="0"/>
              <w:snapToGrid w:val="0"/>
              <w:spacing w:line="240" w:lineRule="auto"/>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核心课程</w:t>
            </w:r>
          </w:p>
          <w:p>
            <w:pPr>
              <w:adjustRightInd w:val="0"/>
              <w:snapToGrid w:val="0"/>
              <w:spacing w:line="240" w:lineRule="auto"/>
              <w:ind w:firstLine="0" w:firstLineChars="0"/>
              <w:jc w:val="left"/>
              <w:rPr>
                <w:rFonts w:hint="eastAsia" w:ascii="仿宋_GB2312" w:hAnsi="仿宋_GB2312" w:eastAsia="仿宋_GB2312" w:cs="仿宋_GB2312"/>
                <w:b/>
                <w:sz w:val="24"/>
                <w:szCs w:val="24"/>
              </w:rPr>
            </w:pPr>
            <w:r>
              <w:rPr>
                <w:rFonts w:hint="eastAsia" w:ascii="仿宋_GB2312" w:hAnsi="仿宋_GB2312" w:eastAsia="仿宋_GB2312" w:cs="仿宋_GB2312"/>
                <w:sz w:val="21"/>
                <w:szCs w:val="21"/>
              </w:rPr>
              <w:t>（对应每个专业，明确涉及的专业核心课程）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restart"/>
            <w:vAlign w:val="center"/>
          </w:tcPr>
          <w:p>
            <w:pPr>
              <w:adjustRightInd w:val="0"/>
              <w:snapToGrid w:val="0"/>
              <w:spacing w:line="240" w:lineRule="auto"/>
              <w:jc w:val="center"/>
              <w:rPr>
                <w:rFonts w:hint="default"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4"/>
                <w:szCs w:val="24"/>
                <w:lang w:val="en-US" w:eastAsia="zh-CN"/>
              </w:rPr>
              <w:t>财经商贸大类</w:t>
            </w:r>
          </w:p>
        </w:tc>
        <w:tc>
          <w:tcPr>
            <w:tcW w:w="1499" w:type="dxa"/>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kern w:val="2"/>
                <w:sz w:val="24"/>
                <w:szCs w:val="24"/>
                <w:lang w:val="en-US" w:eastAsia="zh-CN"/>
              </w:rPr>
              <w:t>5302</w:t>
            </w:r>
            <w:r>
              <w:rPr>
                <w:rFonts w:hint="eastAsia" w:ascii="仿宋_GB2312" w:hAnsi="仿宋_GB2312" w:eastAsia="仿宋_GB2312" w:cs="仿宋_GB2312"/>
                <w:b w:val="0"/>
                <w:bCs/>
                <w:sz w:val="24"/>
                <w:szCs w:val="24"/>
                <w:lang w:val="en-US" w:eastAsia="zh-CN"/>
              </w:rPr>
              <w:t>金融类</w:t>
            </w: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530201</w:t>
            </w:r>
            <w:r>
              <w:rPr>
                <w:rFonts w:hint="eastAsia" w:ascii="仿宋_GB2312" w:hAnsi="仿宋_GB2312" w:eastAsia="仿宋_GB2312" w:cs="仿宋_GB2312"/>
                <w:b w:val="0"/>
                <w:bCs/>
                <w:sz w:val="24"/>
                <w:szCs w:val="24"/>
              </w:rPr>
              <w:t>金融服务与管理</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银行会计实务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商业银行综合柜台业务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银行信贷实务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金融服务营销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个人理财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证券投资实务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金融大数据处理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lang w:val="en-US" w:eastAsia="zh-CN"/>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kern w:val="2"/>
                <w:sz w:val="24"/>
                <w:szCs w:val="24"/>
                <w:lang w:val="en-US" w:eastAsia="zh-CN"/>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金融风险与合规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530202</w:t>
            </w:r>
            <w:r>
              <w:rPr>
                <w:rFonts w:hint="eastAsia" w:ascii="仿宋_GB2312" w:hAnsi="仿宋_GB2312" w:eastAsia="仿宋_GB2312" w:cs="仿宋_GB2312"/>
                <w:b w:val="0"/>
                <w:bCs/>
                <w:sz w:val="24"/>
                <w:szCs w:val="24"/>
              </w:rPr>
              <w:t>金融科技应用</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大数据金融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区块链金融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金融科技营销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金融科技用户运营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金融科技产品设计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金融科技合规实务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530203</w:t>
            </w:r>
            <w:r>
              <w:rPr>
                <w:rFonts w:hint="eastAsia" w:ascii="仿宋_GB2312" w:hAnsi="仿宋_GB2312" w:eastAsia="仿宋_GB2312" w:cs="仿宋_GB2312"/>
                <w:b w:val="0"/>
                <w:bCs/>
                <w:sz w:val="24"/>
                <w:szCs w:val="24"/>
              </w:rPr>
              <w:t>保险实务</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人身保险实务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财产保险实务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保险营销技巧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社会保险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保险客户服务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保险中介实务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保险科技应用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530204</w:t>
            </w:r>
            <w:r>
              <w:rPr>
                <w:rFonts w:hint="eastAsia" w:ascii="仿宋_GB2312" w:hAnsi="仿宋_GB2312" w:eastAsia="仿宋_GB2312" w:cs="仿宋_GB2312"/>
                <w:b w:val="0"/>
                <w:bCs/>
                <w:sz w:val="24"/>
                <w:szCs w:val="24"/>
              </w:rPr>
              <w:t>信用管理</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企业信用管理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消费者信用管理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大数据财务分析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信用分析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银行授信业务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人工智能征信应用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大数据信用评级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530205</w:t>
            </w:r>
            <w:r>
              <w:rPr>
                <w:rFonts w:hint="eastAsia" w:ascii="仿宋_GB2312" w:hAnsi="仿宋_GB2312" w:eastAsia="仿宋_GB2312" w:cs="仿宋_GB2312"/>
                <w:b w:val="0"/>
                <w:bCs/>
                <w:sz w:val="24"/>
                <w:szCs w:val="24"/>
              </w:rPr>
              <w:t>财富管理</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银行产品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保险实务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投资实务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证券投资基金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个人理财规划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公司金融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530206</w:t>
            </w:r>
            <w:r>
              <w:rPr>
                <w:rFonts w:hint="eastAsia" w:ascii="仿宋_GB2312" w:hAnsi="仿宋_GB2312" w:eastAsia="仿宋_GB2312" w:cs="仿宋_GB2312"/>
                <w:b w:val="0"/>
                <w:bCs/>
                <w:sz w:val="24"/>
                <w:szCs w:val="24"/>
              </w:rPr>
              <w:t>证券实务</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证券投资分析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证券投资基金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投资银行业务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期货原理与实务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个人理财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金融风险管理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530207</w:t>
            </w:r>
            <w:r>
              <w:rPr>
                <w:rFonts w:hint="eastAsia" w:ascii="仿宋_GB2312" w:hAnsi="仿宋_GB2312" w:eastAsia="仿宋_GB2312" w:cs="仿宋_GB2312"/>
                <w:b w:val="0"/>
                <w:bCs/>
                <w:sz w:val="24"/>
                <w:szCs w:val="24"/>
              </w:rPr>
              <w:t>国际金融</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商业银行综合柜台业务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个人理财业务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外汇交易实务（双语）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国际结算业务（双语）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国际金融函电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大数据金融分析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国际投融资实务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 w:val="0"/>
                <w:bCs/>
                <w:i w:val="0"/>
                <w:color w:val="auto"/>
                <w:kern w:val="2"/>
                <w:sz w:val="24"/>
                <w:szCs w:val="24"/>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金融英语服务口语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4"/>
                <w:szCs w:val="24"/>
              </w:rPr>
            </w:pPr>
          </w:p>
        </w:tc>
        <w:tc>
          <w:tcPr>
            <w:tcW w:w="2031" w:type="dxa"/>
            <w:gridSpan w:val="2"/>
            <w:vMerge w:val="restart"/>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i w:val="0"/>
                <w:color w:val="auto"/>
                <w:kern w:val="2"/>
                <w:sz w:val="24"/>
                <w:szCs w:val="24"/>
                <w:u w:val="none"/>
                <w:lang w:val="en-US" w:eastAsia="zh-CN" w:bidi="ar"/>
              </w:rPr>
              <w:t>530208</w:t>
            </w:r>
            <w:r>
              <w:rPr>
                <w:rFonts w:hint="eastAsia" w:ascii="仿宋_GB2312" w:hAnsi="仿宋_GB2312" w:eastAsia="仿宋_GB2312" w:cs="仿宋_GB2312"/>
                <w:b w:val="0"/>
                <w:bCs/>
                <w:sz w:val="24"/>
                <w:szCs w:val="24"/>
              </w:rPr>
              <w:t>农村金融</w:t>
            </w: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银行会计实务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个人理财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商业银行综合柜台业务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小额信贷实务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农业保险实务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金融服务营销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农村金融风险与合规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1384"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1499" w:type="dxa"/>
            <w:vMerge w:val="continue"/>
            <w:vAlign w:val="center"/>
          </w:tcPr>
          <w:p>
            <w:pPr>
              <w:adjustRightInd w:val="0"/>
              <w:snapToGrid w:val="0"/>
              <w:spacing w:line="240" w:lineRule="auto"/>
              <w:jc w:val="center"/>
              <w:rPr>
                <w:rFonts w:hint="eastAsia" w:ascii="仿宋_GB2312" w:hAnsi="仿宋_GB2312" w:eastAsia="仿宋_GB2312" w:cs="仿宋_GB2312"/>
                <w:b w:val="0"/>
                <w:bCs/>
                <w:sz w:val="28"/>
                <w:szCs w:val="28"/>
              </w:rPr>
            </w:pPr>
          </w:p>
        </w:tc>
        <w:tc>
          <w:tcPr>
            <w:tcW w:w="2031" w:type="dxa"/>
            <w:gridSpan w:val="2"/>
            <w:vMerge w:val="continue"/>
            <w:vAlign w:val="center"/>
          </w:tcPr>
          <w:p>
            <w:pPr>
              <w:adjustRightInd w:val="0"/>
              <w:snapToGrid w:val="0"/>
              <w:spacing w:line="240" w:lineRule="auto"/>
              <w:jc w:val="center"/>
              <w:rPr>
                <w:rFonts w:hint="eastAsia" w:ascii="仿宋_GB2312" w:hAnsi="仿宋_GB2312" w:eastAsia="仿宋_GB2312" w:cs="仿宋_GB2312"/>
                <w:bCs/>
                <w:i w:val="0"/>
                <w:color w:val="000000"/>
                <w:kern w:val="0"/>
                <w:sz w:val="28"/>
                <w:szCs w:val="28"/>
                <w:u w:val="none"/>
                <w:lang w:val="en-US" w:eastAsia="zh-CN" w:bidi="ar"/>
              </w:rPr>
            </w:pPr>
          </w:p>
        </w:tc>
        <w:tc>
          <w:tcPr>
            <w:tcW w:w="4164" w:type="dxa"/>
            <w:vAlign w:val="center"/>
          </w:tcPr>
          <w:p>
            <w:pPr>
              <w:adjustRightInd w:val="0"/>
              <w:snapToGrid w:val="0"/>
              <w:spacing w:line="240" w:lineRule="auto"/>
              <w:jc w:val="center"/>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金融大数据处理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78" w:type="dxa"/>
            <w:gridSpan w:val="5"/>
            <w:vAlign w:val="center"/>
          </w:tcPr>
          <w:p>
            <w:pPr>
              <w:adjustRightInd w:val="0"/>
              <w:snapToGrid w:val="0"/>
              <w:spacing w:line="240" w:lineRule="auto"/>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bCs w:val="0"/>
                <w:sz w:val="24"/>
                <w:szCs w:val="24"/>
                <w:lang w:val="en-US" w:eastAsia="zh-CN"/>
              </w:rPr>
              <w:t>对接</w:t>
            </w:r>
            <w:r>
              <w:rPr>
                <w:rFonts w:hint="eastAsia" w:ascii="仿宋_GB2312" w:hAnsi="仿宋_GB2312" w:eastAsia="仿宋_GB2312" w:cs="仿宋_GB2312"/>
                <w:b/>
                <w:bCs w:val="0"/>
                <w:sz w:val="24"/>
                <w:szCs w:val="24"/>
              </w:rPr>
              <w:t>产业行业、对应岗位（群）及核心能力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sz w:val="24"/>
                <w:szCs w:val="24"/>
              </w:rPr>
              <w:t>产业行业</w:t>
            </w:r>
          </w:p>
        </w:tc>
        <w:tc>
          <w:tcPr>
            <w:tcW w:w="222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sz w:val="24"/>
                <w:szCs w:val="24"/>
              </w:rPr>
              <w:t>岗位（群）</w:t>
            </w:r>
          </w:p>
        </w:tc>
        <w:tc>
          <w:tcPr>
            <w:tcW w:w="5469" w:type="dxa"/>
            <w:gridSpan w:val="2"/>
            <w:vAlign w:val="center"/>
          </w:tcPr>
          <w:p>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核心能力</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8"/>
                <w:szCs w:val="28"/>
              </w:rPr>
            </w:pPr>
            <w:r>
              <w:rPr>
                <w:rFonts w:hint="eastAsia" w:ascii="仿宋_GB2312" w:hAnsi="仿宋_GB2312" w:eastAsia="仿宋_GB2312" w:cs="仿宋_GB2312"/>
                <w:sz w:val="21"/>
                <w:szCs w:val="32"/>
              </w:rPr>
              <w:t>（对应每个岗位</w:t>
            </w:r>
            <w:r>
              <w:rPr>
                <w:rFonts w:hint="eastAsia" w:ascii="仿宋_GB2312" w:hAnsi="仿宋_GB2312" w:eastAsia="仿宋_GB2312" w:cs="仿宋_GB2312"/>
                <w:color w:val="auto"/>
                <w:sz w:val="21"/>
                <w:szCs w:val="32"/>
              </w:rPr>
              <w:t>（</w:t>
            </w:r>
            <w:r>
              <w:rPr>
                <w:rFonts w:hint="eastAsia" w:ascii="仿宋_GB2312" w:hAnsi="仿宋_GB2312" w:eastAsia="仿宋_GB2312" w:cs="仿宋_GB2312"/>
                <w:sz w:val="21"/>
                <w:szCs w:val="32"/>
              </w:rPr>
              <w:t>群</w:t>
            </w:r>
            <w:r>
              <w:rPr>
                <w:rFonts w:hint="eastAsia" w:ascii="仿宋_GB2312" w:hAnsi="仿宋_GB2312" w:eastAsia="仿宋_GB2312" w:cs="仿宋_GB2312"/>
                <w:color w:val="auto"/>
                <w:sz w:val="21"/>
                <w:szCs w:val="32"/>
              </w:rPr>
              <w:t>）</w:t>
            </w:r>
            <w:r>
              <w:rPr>
                <w:rFonts w:hint="eastAsia" w:ascii="仿宋_GB2312" w:hAnsi="仿宋_GB2312" w:eastAsia="仿宋_GB2312" w:cs="仿宋_GB2312"/>
                <w:sz w:val="21"/>
                <w:szCs w:val="32"/>
              </w:rPr>
              <w:t>，明确核心能力要求）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现代服务业</w:t>
            </w: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面向货币金融服务及其他金融业的银行服务、证券服务、其他金融服务等岗位（群）</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kern w:val="2"/>
                <w:sz w:val="24"/>
                <w:szCs w:val="24"/>
                <w:lang w:val="en-US" w:eastAsia="zh-CN" w:bidi="ar-SA"/>
              </w:rPr>
            </w:pPr>
            <w:r>
              <w:rPr>
                <w:rFonts w:hint="eastAsia" w:ascii="仿宋_GB2312" w:hAnsi="仿宋_GB2312" w:eastAsia="仿宋_GB2312" w:cs="仿宋_GB2312"/>
                <w:b w:val="0"/>
                <w:bCs/>
                <w:kern w:val="2"/>
                <w:sz w:val="24"/>
                <w:szCs w:val="24"/>
                <w:lang w:val="en-US" w:eastAsia="zh-CN" w:bidi="ar-SA"/>
              </w:rPr>
              <w:t>1.具有用经济金融基础理论来解释生活中的经济现象并运用于实践的能力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2.具有按照金融从业人员礼仪规范正确进行各项业务的客户接待、业务引导的能力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3.具有规范进行金融机构柜面业务、贷款业务、客户投资理财业务等业务操作的能力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4.具有根据金融营销基本策略技巧开拓和维护客户，较好地进行金融产品营销的能力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5.具有依照经济金融基本法律法规进行金融业务风险的基本分析识别与防范的能力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6.具有适应金融产业数字化发展需求的信息技术基础知识、专业信息技术能力等基本数字化技能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7.具有适应现代金融业的新知识、新技术、新方法、新应用的能力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kern w:val="2"/>
                <w:sz w:val="24"/>
                <w:szCs w:val="24"/>
                <w:lang w:val="en-US" w:eastAsia="zh-CN" w:bidi="ar-SA"/>
              </w:rPr>
              <w:t>8.具有绿色生产、环境保护、安全防护、质量管理等相关知识与技能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面向传统金融机构和新兴金融科技企业的产品类、运营类、营销类等职业</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lang w:val="en-US" w:eastAsia="zh-CN"/>
              </w:rPr>
              <w:t>1.具有适应产业数字化发展需要的金融科技领域数字化技能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2.具有数字营销方案撰写、活动策划及实施的能力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3.具有商业需求分析、产品原型设计的能力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4.具有金融大数据采集与清洗、分析的能力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5.具有区块链搭链、智能合约编写的能力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6.具有借助工具实施金融科技风险控制的能力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7.具备较好的语言表达、沟通协调和团队合作能力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面向保险核保专业人员、保险理赔专业人员、保险代理人、保险保全员等职业，保险营销、保险客户服务、保险理赔、保险承保、职业培训、保险中介业务、理财咨询等岗位（群）</w:t>
            </w: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lang w:val="en-US" w:eastAsia="zh-CN"/>
              </w:rPr>
              <w:t>1.具有开展市场调查、客户拓展、量身定制保险理财规划、保险产品推广及销售等工作的能力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2.具有为各类企事业单位进行风险评估、提供合理化防灾防损建议的能力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3.具有风险识别与评估、风险查勘、损失分析与核定、理赔调查等核保理赔能力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4.具有客户咨询接待、客户投诉及异议处理、简单保险纠纷案件的协调处理等客户服务能力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5.具有会务策划与组织、职业培训、业务督导等团队建设与管理能力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6.具有保险代理、保险经纪与保险公估等中介业务操作与处理的能力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7.具有保险数据统计分析、保险信息处理、科技赋能业务领域操作处理等能力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bidi w:val="0"/>
              <w:adjustRightInd w:val="0"/>
              <w:snapToGrid w:val="0"/>
              <w:jc w:val="left"/>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8.具有绿色生产、环保安全等意识和践行职业道德准则与行为规范的能力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z w:val="24"/>
                <w:szCs w:val="24"/>
              </w:rPr>
              <w:t>面向企业信用风险控制、应收账款管理、银行信贷审核与贷后管理、征信数据分析、金融机构客户服务与产品营销等岗位（群）</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r>
              <w:rPr>
                <w:rFonts w:hint="eastAsia" w:ascii="仿宋_GB2312" w:hAnsi="仿宋_GB2312" w:eastAsia="仿宋_GB2312" w:cs="仿宋_GB2312"/>
                <w:b w:val="0"/>
                <w:bCs/>
                <w:sz w:val="24"/>
                <w:szCs w:val="24"/>
                <w:lang w:val="en-US" w:eastAsia="zh-CN"/>
              </w:rPr>
              <w:t>1.具有综合运用金融学、经济学、金融科技和信用管理等领域专业知识解决实际业务问题的能力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2.具有企业信用风险管理、银行信贷资产信用审核与贷后管理、征信数据分析和企事业单位应收账款管理业务操作的能力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3.具有行业分析、企业风险综合分析和消费者信用分析能力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4.具有信用信息处理、资信调查、信用评级和信用风险管理的实践能力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5.具备金融服务和信用产品营销的基本专业技能，具有综合金融服务与产品营销的基层岗位实践能力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6.具有利用人工智能等新技术手段进行信用风险识别、信用调查、信用风险评估、信用产品营销服务的专业能力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7.具有适应信用管理领域数字化发展需求的大数据征信应用、大数据财务分析等核心数字技能和征信数据分析等技术能力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面向银行专业人员、保险专业人员、证券专业人员及金融服务人员等职业，理财经理岗、投资顾问岗、金融营销岗、交易操作岗、售后服务岗等岗位（群）</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1.具有认知、分析银行产品、基金产品、保险产品、信托产品、股票、黄金、房产等投资产品的能力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2.具有为客户提供金融产品的相关咨询，帮助其配置合适的金融产品，完成理财规划方案的能力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3.具有运用适应金融产业数字化发展需求的人工智能、大数据等信息技术基础知识和基本专业技能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4.具有进行客户关系维护和管理，提供持续跟踪服务的能力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5.具有识别、分析和管理金融机构和客户风险的能力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6.具有运用本专业相关法律法规、行业规定从事职业活动的能力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7.具有良好的语言和文字表达能力、沟通合作能力，具有一定的国际视野和跨文化交流能力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面向证券专业人员、证券服务人员和期货服务人员等职业，金融营销、柜员、客户服务、投资顾问、理财顾问、结算等岗位（群）</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1.具有为客户提供证券经纪、期货经纪、投资分析、投资咨询等服务的能力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2.具有为客户进行理财规划和配置资产的能力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3.具有向客户进行金融产品推广和营销的能力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4.具有使用办公软件、行情软件、客服软件等处理信息技术的能力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5.具有使用金融领域基本数字化工具的能力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6.具有使用金融服务礼仪、沟通表达、团队协作的能力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7.具有依照证券市场基本法律法规、行业相关绿色生产、安全防护、质量管理等要求办理相关业务的能力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8.具有运用创新意识、互联网思维研究并解决问题的能力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面向企业国际结算专员、投融资专员、理财经理等职业，企业国际结算和外汇管理、国际贸易收支管理、国际投融资管理、国际金融柜面服务、国际金融理财服务、金融产品营销等岗位（群）</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1.具有钞票清点、假币鉴别、数字键盘传票录入、形码输入法信息录入等金融服务基本操作能力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2.具有运用业务现场的智能化设备、工具和银行柜面、外汇交易、国际结算、新媒体营销、智能投顾等业务操作平台办理业务的能力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3.具有国际金融业务中基本的英语读、写、译及应用金融服务英语进行基本沟通交流的能力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4.具有根据国际金融市场现状和发展趋势进行基本的国际投融资业务操作的能力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5.具有分析和解读企业财务信息，评估项目投融资风险，进行项目投融资业务运作的基本能力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6.具有独立开拓和维护客户，独立开展金融产品营销，独立进行理财规划和客户服务的能力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7.具有运用大数据、区块链、人工智能等金融科技技术检索、搜集、识别、判断和处理信息及数据，开展国际金融业务的能力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8.具有良好的语言文字表达、沟通协调和团队协作能力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面向县域金融业的银行服务、保险服务等职业，综合柜员、客户经理、理财经理、风险经理等岗位（群）</w:t>
            </w: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1.具有点钞、假币鉴别、传票数字录入、形码字符录入等基本金融职业技能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2.具有银行柜面服务、支农支小贷款、农业保险等金融业务操作处理的能力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3.具有个人理财咨询服务和理财方案设计的能力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4.具有根据金融礼仪规范开展客户服务和产品营销的能力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5.具有根据相关法律法规和行业规范开展金融服务和业务风险审查的能力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6.具有金融数据处理技能和信息技术应用的能力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84"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val="0"/>
                <w:bCs/>
                <w:sz w:val="24"/>
                <w:szCs w:val="24"/>
                <w:lang w:val="en-US" w:eastAsia="zh-CN"/>
              </w:rPr>
            </w:pPr>
          </w:p>
        </w:tc>
        <w:tc>
          <w:tcPr>
            <w:tcW w:w="2225"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p>
        </w:tc>
        <w:tc>
          <w:tcPr>
            <w:tcW w:w="5469"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7.具有较好的语言表达、沟通协调和团队合作的能力</w:t>
            </w:r>
          </w:p>
        </w:tc>
      </w:tr>
    </w:tbl>
    <w:p>
      <w:pPr>
        <w:ind w:firstLine="420" w:firstLineChars="200"/>
        <w:jc w:val="left"/>
      </w:pPr>
      <w:r>
        <w:br w:type="page"/>
      </w:r>
    </w:p>
    <w:p>
      <w:pPr>
        <w:numPr>
          <w:ilvl w:val="0"/>
          <w:numId w:val="3"/>
        </w:numPr>
        <w:spacing w:before="156" w:beforeLines="50" w:after="156" w:afterLines="50"/>
        <w:ind w:firstLine="640" w:firstLineChars="200"/>
        <w:outlineLvl w:val="0"/>
        <w:rPr>
          <w:rFonts w:hint="eastAsia" w:ascii="黑体" w:eastAsia="黑体"/>
          <w:sz w:val="32"/>
          <w:szCs w:val="32"/>
        </w:rPr>
      </w:pPr>
      <w:r>
        <w:rPr>
          <w:rFonts w:hint="eastAsia" w:ascii="黑体" w:eastAsia="黑体"/>
          <w:sz w:val="32"/>
          <w:szCs w:val="32"/>
        </w:rPr>
        <w:t>竞赛目标</w:t>
      </w:r>
    </w:p>
    <w:p>
      <w:pPr>
        <w:pStyle w:val="8"/>
        <w:numPr>
          <w:ilvl w:val="0"/>
          <w:numId w:val="0"/>
        </w:numPr>
        <w:adjustRightInd w:val="0"/>
        <w:snapToGrid w:val="0"/>
        <w:spacing w:line="360" w:lineRule="auto"/>
        <w:ind w:firstLine="560" w:firstLineChars="200"/>
        <w:rPr>
          <w:rFonts w:hint="eastAsia" w:ascii="黑体" w:hAnsi="黑体" w:eastAsia="黑体"/>
          <w:sz w:val="32"/>
          <w:szCs w:val="32"/>
        </w:rPr>
      </w:pPr>
      <w:r>
        <w:rPr>
          <w:rFonts w:hint="eastAsia" w:ascii="仿宋_GB2312" w:hAnsi="仿宋_GB2312" w:eastAsia="仿宋_GB2312" w:cs="仿宋_GB2312"/>
          <w:sz w:val="28"/>
          <w:szCs w:val="36"/>
          <w:lang w:val="en-US" w:eastAsia="zh-CN"/>
        </w:rPr>
        <w:t>“智慧金融”赛项</w:t>
      </w:r>
      <w:r>
        <w:rPr>
          <w:rFonts w:hint="eastAsia" w:ascii="仿宋_GB2312" w:hAnsi="仿宋_GB2312" w:eastAsia="仿宋_GB2312" w:cs="仿宋_GB2312"/>
          <w:sz w:val="28"/>
          <w:szCs w:val="36"/>
        </w:rPr>
        <w:t>，是为了贯彻落实国务院印发的《国家职业教育改革实施方案》国发(2019)4号，坚持以习近平新时代中国特色社会主义思想为指导</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lang w:val="en-US" w:eastAsia="zh-CN"/>
        </w:rPr>
        <w:t>竞赛内容</w:t>
      </w:r>
      <w:r>
        <w:rPr>
          <w:rFonts w:hint="eastAsia" w:ascii="仿宋_GB2312" w:hAnsi="仿宋_GB2312" w:eastAsia="仿宋_GB2312" w:cs="仿宋_GB2312"/>
          <w:sz w:val="28"/>
          <w:szCs w:val="36"/>
          <w:lang w:eastAsia="zh-CN"/>
        </w:rPr>
        <w:t>包括</w:t>
      </w:r>
      <w:r>
        <w:rPr>
          <w:rFonts w:hint="eastAsia" w:ascii="仿宋_GB2312" w:hAnsi="仿宋_GB2312" w:eastAsia="仿宋_GB2312" w:cs="仿宋_GB2312"/>
          <w:sz w:val="28"/>
          <w:szCs w:val="36"/>
          <w:lang w:val="en-US" w:eastAsia="zh-CN"/>
        </w:rPr>
        <w:t>金融职业素养</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lang w:val="en-US" w:eastAsia="zh-CN"/>
        </w:rPr>
        <w:t>金融综合技能</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lang w:val="en-US" w:eastAsia="zh-CN"/>
        </w:rPr>
        <w:t>数字金融业务</w:t>
      </w:r>
      <w:r>
        <w:rPr>
          <w:rFonts w:hint="eastAsia" w:ascii="仿宋_GB2312" w:hAnsi="仿宋_GB2312" w:eastAsia="仿宋_GB2312" w:cs="仿宋_GB2312"/>
          <w:sz w:val="28"/>
          <w:szCs w:val="36"/>
          <w:lang w:eastAsia="zh-CN"/>
        </w:rPr>
        <w:t>。以竞赛推进金融专业群将岗位素质技能融入课程，引领金融专业群课程数字化改革，对接金融企业业务改革与创新需求，</w:t>
      </w:r>
      <w:r>
        <w:rPr>
          <w:rFonts w:hint="eastAsia" w:ascii="仿宋_GB2312" w:hAnsi="仿宋_GB2312" w:eastAsia="仿宋_GB2312" w:cs="仿宋_GB2312"/>
          <w:sz w:val="28"/>
          <w:szCs w:val="36"/>
        </w:rPr>
        <w:t>巩固和深化学生业务操作方法，提高金融专业群学生金融业务综合技能，全面提升高职金融职业人才实践操作能力，增强学生就业核心竞争力。以赛促教，以赛促学，以赛促改，对接</w:t>
      </w:r>
      <w:r>
        <w:rPr>
          <w:rFonts w:hint="eastAsia" w:ascii="仿宋_GB2312" w:hAnsi="仿宋_GB2312" w:eastAsia="仿宋_GB2312" w:cs="仿宋_GB2312"/>
          <w:sz w:val="28"/>
          <w:szCs w:val="36"/>
          <w:lang w:eastAsia="zh-CN"/>
        </w:rPr>
        <w:t>“金融产品数字化营销”“金融智能投顾”“金融大数据处理”“人身保险理赔”“</w:t>
      </w:r>
      <w:r>
        <w:rPr>
          <w:rFonts w:hint="eastAsia" w:ascii="仿宋_GB2312" w:hAnsi="仿宋_GB2312" w:eastAsia="仿宋_GB2312" w:cs="仿宋_GB2312"/>
          <w:sz w:val="28"/>
          <w:szCs w:val="36"/>
          <w:lang w:val="en-US" w:eastAsia="zh-CN"/>
        </w:rPr>
        <w:t>家庭理财规划”</w:t>
      </w:r>
      <w:r>
        <w:rPr>
          <w:rFonts w:hint="eastAsia" w:ascii="仿宋_GB2312" w:hAnsi="仿宋_GB2312" w:eastAsia="仿宋_GB2312" w:cs="仿宋_GB2312"/>
          <w:sz w:val="28"/>
          <w:szCs w:val="36"/>
          <w:lang w:eastAsia="zh-CN"/>
        </w:rPr>
        <w:t>等</w:t>
      </w:r>
      <w:r>
        <w:rPr>
          <w:rFonts w:hint="eastAsia" w:ascii="仿宋_GB2312" w:hAnsi="仿宋_GB2312" w:eastAsia="仿宋_GB2312" w:cs="仿宋_GB2312"/>
          <w:sz w:val="28"/>
          <w:szCs w:val="36"/>
        </w:rPr>
        <w:t>职业技能等级证书，推进</w:t>
      </w:r>
      <w:r>
        <w:rPr>
          <w:rFonts w:hint="eastAsia" w:ascii="仿宋_GB2312" w:hAnsi="仿宋_GB2312" w:eastAsia="仿宋_GB2312" w:cs="仿宋_GB2312"/>
          <w:sz w:val="28"/>
          <w:szCs w:val="36"/>
          <w:lang w:eastAsia="zh-CN"/>
        </w:rPr>
        <w:t>金融专业群</w:t>
      </w:r>
      <w:r>
        <w:rPr>
          <w:rFonts w:hint="eastAsia" w:ascii="仿宋_GB2312" w:hAnsi="仿宋_GB2312" w:eastAsia="仿宋_GB2312" w:cs="仿宋_GB2312"/>
          <w:sz w:val="28"/>
          <w:szCs w:val="36"/>
        </w:rPr>
        <w:t>“岗课赛证”综合育人</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展示</w:t>
      </w:r>
      <w:r>
        <w:rPr>
          <w:rFonts w:hint="eastAsia" w:ascii="仿宋_GB2312" w:hAnsi="仿宋_GB2312" w:eastAsia="仿宋_GB2312" w:cs="仿宋_GB2312"/>
          <w:sz w:val="28"/>
          <w:szCs w:val="36"/>
          <w:lang w:eastAsia="zh-CN"/>
        </w:rPr>
        <w:t>金融专业群高职教育</w:t>
      </w:r>
      <w:r>
        <w:rPr>
          <w:rFonts w:hint="eastAsia" w:ascii="仿宋_GB2312" w:hAnsi="仿宋_GB2312" w:eastAsia="仿宋_GB2312" w:cs="仿宋_GB2312"/>
          <w:sz w:val="28"/>
          <w:szCs w:val="36"/>
        </w:rPr>
        <w:t>改革成果及师生良好精神面貌</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引领</w:t>
      </w:r>
      <w:r>
        <w:rPr>
          <w:rFonts w:hint="eastAsia" w:ascii="仿宋_GB2312" w:hAnsi="仿宋_GB2312" w:eastAsia="仿宋_GB2312" w:cs="仿宋_GB2312"/>
          <w:sz w:val="28"/>
          <w:szCs w:val="36"/>
          <w:lang w:eastAsia="zh-CN"/>
        </w:rPr>
        <w:t>金融</w:t>
      </w:r>
      <w:r>
        <w:rPr>
          <w:rFonts w:hint="eastAsia" w:ascii="仿宋_GB2312" w:hAnsi="仿宋_GB2312" w:eastAsia="仿宋_GB2312" w:cs="仿宋_GB2312"/>
          <w:sz w:val="28"/>
          <w:szCs w:val="36"/>
        </w:rPr>
        <w:t>职业教育高质量发展</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为普惠金融、绿色金融、数字金融</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lang w:val="en-US" w:eastAsia="zh-CN"/>
        </w:rPr>
        <w:t>碳金融、科创金融</w:t>
      </w:r>
      <w:r>
        <w:rPr>
          <w:rFonts w:hint="eastAsia" w:ascii="仿宋_GB2312" w:hAnsi="仿宋_GB2312" w:eastAsia="仿宋_GB2312" w:cs="仿宋_GB2312"/>
          <w:sz w:val="28"/>
          <w:szCs w:val="36"/>
        </w:rPr>
        <w:t>等金融创新提供智力支持。</w:t>
      </w:r>
    </w:p>
    <w:p>
      <w:pPr>
        <w:numPr>
          <w:ilvl w:val="0"/>
          <w:numId w:val="3"/>
        </w:numPr>
        <w:ind w:left="0" w:leftChars="0" w:firstLine="640" w:firstLineChars="200"/>
        <w:outlineLvl w:val="0"/>
        <w:rPr>
          <w:rFonts w:hint="eastAsia" w:ascii="黑体" w:hAnsi="黑体" w:eastAsia="黑体"/>
          <w:sz w:val="32"/>
          <w:szCs w:val="32"/>
        </w:rPr>
      </w:pPr>
      <w:r>
        <w:rPr>
          <w:rFonts w:hint="eastAsia" w:ascii="黑体" w:hAnsi="黑体" w:eastAsia="黑体"/>
          <w:sz w:val="32"/>
          <w:szCs w:val="32"/>
        </w:rPr>
        <w:t>竞赛内容</w:t>
      </w:r>
    </w:p>
    <w:p>
      <w:pPr>
        <w:adjustRightInd w:val="0"/>
        <w:snapToGrid w:val="0"/>
        <w:spacing w:line="360" w:lineRule="auto"/>
        <w:ind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lang w:eastAsia="zh-CN"/>
        </w:rPr>
        <w:t>（</w:t>
      </w:r>
      <w:r>
        <w:rPr>
          <w:rFonts w:hint="eastAsia" w:ascii="楷体" w:hAnsi="楷体" w:eastAsia="楷体" w:cs="楷体"/>
          <w:b/>
          <w:bCs/>
          <w:spacing w:val="-4"/>
          <w:sz w:val="28"/>
          <w:szCs w:val="28"/>
          <w:highlight w:val="none"/>
          <w:lang w:val="en-US" w:eastAsia="zh-CN"/>
        </w:rPr>
        <w:t>一</w:t>
      </w:r>
      <w:r>
        <w:rPr>
          <w:rFonts w:hint="eastAsia" w:ascii="楷体" w:hAnsi="楷体" w:eastAsia="楷体" w:cs="楷体"/>
          <w:b/>
          <w:bCs/>
          <w:spacing w:val="-4"/>
          <w:sz w:val="28"/>
          <w:szCs w:val="28"/>
          <w:highlight w:val="none"/>
          <w:lang w:eastAsia="zh-CN"/>
        </w:rPr>
        <w:t>）</w:t>
      </w:r>
      <w:r>
        <w:rPr>
          <w:rFonts w:hint="eastAsia" w:ascii="楷体" w:hAnsi="楷体" w:eastAsia="楷体" w:cs="楷体"/>
          <w:b/>
          <w:bCs/>
          <w:spacing w:val="-4"/>
          <w:sz w:val="28"/>
          <w:szCs w:val="28"/>
          <w:highlight w:val="none"/>
        </w:rPr>
        <w:t>赛项竞赛内容说明</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“智慧金融”</w:t>
      </w:r>
      <w:r>
        <w:rPr>
          <w:rFonts w:hint="eastAsia" w:ascii="仿宋_GB2312" w:hAnsi="仿宋_GB2312" w:eastAsia="仿宋_GB2312" w:cs="仿宋_GB2312"/>
          <w:sz w:val="28"/>
          <w:szCs w:val="28"/>
        </w:rPr>
        <w:t>赛</w:t>
      </w:r>
      <w:r>
        <w:rPr>
          <w:rFonts w:hint="eastAsia" w:ascii="仿宋_GB2312" w:hAnsi="仿宋_GB2312" w:eastAsia="仿宋_GB2312" w:cs="仿宋_GB2312"/>
          <w:sz w:val="28"/>
          <w:szCs w:val="28"/>
          <w:lang w:val="en-US" w:eastAsia="zh-CN"/>
        </w:rPr>
        <w:t>项</w:t>
      </w:r>
      <w:r>
        <w:rPr>
          <w:rFonts w:hint="eastAsia" w:ascii="仿宋_GB2312" w:hAnsi="仿宋_GB2312" w:eastAsia="仿宋_GB2312" w:cs="仿宋_GB2312"/>
          <w:sz w:val="28"/>
          <w:szCs w:val="28"/>
        </w:rPr>
        <w:t>包括“金融职业素养”“金融</w:t>
      </w:r>
      <w:r>
        <w:rPr>
          <w:rFonts w:hint="eastAsia" w:ascii="仿宋_GB2312" w:hAnsi="仿宋_GB2312" w:eastAsia="仿宋_GB2312" w:cs="仿宋_GB2312"/>
          <w:sz w:val="28"/>
          <w:szCs w:val="28"/>
          <w:lang w:val="en-US" w:eastAsia="zh-CN"/>
        </w:rPr>
        <w:t>综合技能</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数字金融业务</w:t>
      </w:r>
      <w:r>
        <w:rPr>
          <w:rFonts w:hint="eastAsia" w:ascii="仿宋_GB2312" w:hAnsi="仿宋_GB2312" w:eastAsia="仿宋_GB2312" w:cs="仿宋_GB2312"/>
          <w:sz w:val="28"/>
          <w:szCs w:val="28"/>
        </w:rPr>
        <w:t>”三个</w:t>
      </w:r>
      <w:r>
        <w:rPr>
          <w:rFonts w:hint="eastAsia" w:ascii="仿宋_GB2312" w:hAnsi="仿宋_GB2312" w:eastAsia="仿宋_GB2312" w:cs="仿宋_GB2312"/>
          <w:sz w:val="28"/>
          <w:szCs w:val="28"/>
          <w:lang w:val="en-US" w:eastAsia="zh-CN"/>
        </w:rPr>
        <w:t>竞赛模块</w:t>
      </w:r>
      <w:r>
        <w:rPr>
          <w:rFonts w:hint="eastAsia" w:ascii="仿宋_GB2312" w:hAnsi="仿宋_GB2312" w:eastAsia="仿宋_GB2312" w:cs="仿宋_GB2312"/>
          <w:sz w:val="28"/>
          <w:szCs w:val="28"/>
        </w:rPr>
        <w:t>，总分3000分。</w:t>
      </w:r>
    </w:p>
    <w:p>
      <w:pPr>
        <w:adjustRightInd w:val="0"/>
        <w:snapToGrid w:val="0"/>
        <w:spacing w:line="360" w:lineRule="auto"/>
        <w:ind w:right="0" w:rightChars="0"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w:t>
      </w:r>
      <w:r>
        <w:rPr>
          <w:rFonts w:hint="eastAsia" w:ascii="仿宋_GB2312" w:hAnsi="仿宋_GB2312" w:eastAsia="仿宋_GB2312" w:cs="仿宋_GB2312"/>
          <w:b/>
          <w:bCs/>
          <w:sz w:val="28"/>
          <w:szCs w:val="28"/>
        </w:rPr>
        <w:t>“金融职业素养”</w:t>
      </w:r>
      <w:r>
        <w:rPr>
          <w:rFonts w:hint="eastAsia" w:ascii="仿宋_GB2312" w:hAnsi="仿宋_GB2312" w:eastAsia="仿宋_GB2312" w:cs="仿宋_GB2312"/>
          <w:b/>
          <w:bCs/>
          <w:sz w:val="28"/>
          <w:szCs w:val="28"/>
          <w:lang w:val="en-US" w:eastAsia="zh-CN"/>
        </w:rPr>
        <w:t>模块</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rPr>
        <w:t>考核选手对</w:t>
      </w:r>
      <w:r>
        <w:rPr>
          <w:rFonts w:ascii="Times New Roman" w:hAnsi="Times New Roman" w:eastAsia="仿宋_GB2312"/>
          <w:color w:val="000000"/>
          <w:kern w:val="0"/>
          <w:sz w:val="28"/>
          <w:szCs w:val="28"/>
          <w:lang w:bidi="ar"/>
        </w:rPr>
        <w:t>大数据、人工智能</w:t>
      </w:r>
      <w:r>
        <w:rPr>
          <w:rFonts w:hint="eastAsia" w:ascii="Times New Roman" w:hAnsi="Times New Roman" w:eastAsia="仿宋_GB2312"/>
          <w:color w:val="000000"/>
          <w:kern w:val="0"/>
          <w:sz w:val="28"/>
          <w:szCs w:val="28"/>
          <w:lang w:eastAsia="zh-CN" w:bidi="ar"/>
        </w:rPr>
        <w:t>、</w:t>
      </w:r>
      <w:r>
        <w:rPr>
          <w:rFonts w:hint="eastAsia" w:ascii="Times New Roman" w:hAnsi="Times New Roman" w:eastAsia="仿宋_GB2312"/>
          <w:color w:val="000000"/>
          <w:kern w:val="0"/>
          <w:sz w:val="28"/>
          <w:szCs w:val="28"/>
          <w:lang w:val="en-US" w:eastAsia="zh-CN" w:bidi="ar"/>
        </w:rPr>
        <w:t>区块链</w:t>
      </w:r>
      <w:r>
        <w:rPr>
          <w:rFonts w:ascii="Times New Roman" w:hAnsi="Times New Roman" w:eastAsia="仿宋_GB2312"/>
          <w:color w:val="000000"/>
          <w:kern w:val="0"/>
          <w:sz w:val="28"/>
          <w:szCs w:val="28"/>
          <w:lang w:bidi="ar"/>
        </w:rPr>
        <w:t>等信息技术的应用和金融专业知识</w:t>
      </w:r>
      <w:r>
        <w:rPr>
          <w:rFonts w:hint="eastAsia" w:ascii="仿宋_GB2312" w:hAnsi="仿宋_GB2312" w:eastAsia="仿宋_GB2312" w:cs="仿宋_GB2312"/>
          <w:sz w:val="28"/>
          <w:szCs w:val="28"/>
        </w:rPr>
        <w:t>的掌握情况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以及对金融基本操作技能的掌握情况</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highlight w:val="none"/>
          <w:lang w:val="en-US" w:eastAsia="zh-CN"/>
        </w:rPr>
        <w:t>金融职业素养包括“业务素养”和“职业技能”。“业务素养”</w:t>
      </w:r>
      <w:r>
        <w:rPr>
          <w:rFonts w:hint="eastAsia" w:ascii="仿宋_GB2312" w:hAnsi="仿宋_GB2312" w:eastAsia="仿宋_GB2312" w:cs="仿宋_GB2312"/>
          <w:sz w:val="28"/>
          <w:szCs w:val="28"/>
          <w:highlight w:val="none"/>
        </w:rPr>
        <w:t>内容主要包括金融业务基础知识、金融业务法律基础、金融从业人员职业行为准则、金融科技基础知识</w:t>
      </w:r>
      <w:r>
        <w:rPr>
          <w:rFonts w:hint="eastAsia" w:ascii="仿宋_GB2312" w:hAnsi="仿宋_GB2312" w:eastAsia="仿宋_GB2312" w:cs="仿宋_GB2312"/>
          <w:sz w:val="28"/>
          <w:szCs w:val="28"/>
          <w:highlight w:val="none"/>
          <w:lang w:val="en-US" w:eastAsia="zh-CN"/>
        </w:rPr>
        <w:t>等</w:t>
      </w:r>
      <w:r>
        <w:rPr>
          <w:rFonts w:hint="eastAsia" w:ascii="仿宋_GB2312" w:hAnsi="仿宋_GB2312" w:eastAsia="仿宋_GB2312" w:cs="仿宋_GB2312"/>
          <w:sz w:val="28"/>
          <w:szCs w:val="28"/>
          <w:highlight w:val="none"/>
        </w:rPr>
        <w:t>，涵盖业务操作相关的基础知识。</w:t>
      </w:r>
      <w:r>
        <w:rPr>
          <w:rFonts w:hint="eastAsia" w:ascii="仿宋_GB2312" w:hAnsi="仿宋_GB2312" w:eastAsia="仿宋_GB2312" w:cs="仿宋_GB2312"/>
          <w:sz w:val="28"/>
          <w:szCs w:val="28"/>
          <w:highlight w:val="none"/>
          <w:lang w:val="en-US" w:eastAsia="zh-CN"/>
        </w:rPr>
        <w:t>“职业技能”主要包括</w:t>
      </w:r>
      <w:r>
        <w:rPr>
          <w:rFonts w:hint="eastAsia" w:ascii="仿宋_GB2312" w:hAnsi="仿宋_GB2312" w:eastAsia="仿宋_GB2312" w:cs="仿宋_GB2312"/>
          <w:sz w:val="28"/>
          <w:szCs w:val="28"/>
          <w:highlight w:val="none"/>
        </w:rPr>
        <w:t>传票数字录入、字符录入、手工点钞、货币防伪与鉴别等部分</w:t>
      </w:r>
      <w:r>
        <w:rPr>
          <w:rFonts w:hint="eastAsia" w:ascii="仿宋_GB2312" w:hAnsi="仿宋_GB2312" w:eastAsia="仿宋_GB2312" w:cs="仿宋_GB2312"/>
          <w:sz w:val="28"/>
          <w:szCs w:val="28"/>
          <w:highlight w:val="none"/>
          <w:lang w:eastAsia="zh-CN"/>
        </w:rPr>
        <w:t>。</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业务</w:t>
      </w:r>
      <w:r>
        <w:rPr>
          <w:rFonts w:hint="eastAsia" w:ascii="仿宋_GB2312" w:hAnsi="仿宋_GB2312" w:eastAsia="仿宋_GB2312" w:cs="仿宋_GB2312"/>
          <w:sz w:val="28"/>
          <w:szCs w:val="28"/>
          <w:highlight w:val="none"/>
        </w:rPr>
        <w:t>素养”赛项比赛时长45分钟（0.75小时），包括单项选择题，多项选择题，判断题，共100分，4名选手独立完成，团队总分400分，占总分13.33%。本</w:t>
      </w:r>
      <w:r>
        <w:rPr>
          <w:rFonts w:hint="eastAsia" w:ascii="仿宋_GB2312" w:hAnsi="仿宋_GB2312" w:eastAsia="仿宋_GB2312" w:cs="仿宋_GB2312"/>
          <w:sz w:val="28"/>
          <w:szCs w:val="28"/>
          <w:highlight w:val="none"/>
          <w:lang w:val="en-US" w:eastAsia="zh-CN"/>
        </w:rPr>
        <w:t>竞赛单元</w:t>
      </w:r>
      <w:r>
        <w:rPr>
          <w:rFonts w:hint="eastAsia" w:ascii="仿宋_GB2312" w:hAnsi="仿宋_GB2312" w:eastAsia="仿宋_GB2312" w:cs="仿宋_GB2312"/>
          <w:sz w:val="28"/>
          <w:szCs w:val="28"/>
          <w:highlight w:val="none"/>
        </w:rPr>
        <w:t>金融理论知识、银行业务知识、金融科技知识占80%，金融业务法律基础占10%，金融从业人员职业行为</w:t>
      </w:r>
      <w:r>
        <w:rPr>
          <w:rFonts w:hint="eastAsia" w:ascii="仿宋_GB2312" w:hAnsi="仿宋_GB2312" w:eastAsia="仿宋_GB2312" w:cs="仿宋_GB2312"/>
          <w:sz w:val="28"/>
          <w:szCs w:val="28"/>
          <w:highlight w:val="none"/>
          <w:lang w:val="en-US" w:eastAsia="zh-CN"/>
        </w:rPr>
        <w:t>占</w:t>
      </w:r>
      <w:r>
        <w:rPr>
          <w:rFonts w:hint="eastAsia" w:ascii="仿宋_GB2312" w:hAnsi="仿宋_GB2312" w:eastAsia="仿宋_GB2312" w:cs="仿宋_GB2312"/>
          <w:sz w:val="28"/>
          <w:szCs w:val="28"/>
          <w:highlight w:val="none"/>
        </w:rPr>
        <w:t>10%。</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职业</w:t>
      </w:r>
      <w:r>
        <w:rPr>
          <w:rFonts w:hint="eastAsia" w:ascii="仿宋_GB2312" w:hAnsi="仿宋_GB2312" w:eastAsia="仿宋_GB2312" w:cs="仿宋_GB2312"/>
          <w:sz w:val="28"/>
          <w:szCs w:val="28"/>
          <w:highlight w:val="none"/>
        </w:rPr>
        <w:t>技能”</w:t>
      </w:r>
      <w:r>
        <w:rPr>
          <w:rFonts w:hint="eastAsia" w:ascii="仿宋_GB2312" w:hAnsi="仿宋_GB2312" w:eastAsia="仿宋_GB2312" w:cs="仿宋_GB2312"/>
          <w:sz w:val="28"/>
          <w:szCs w:val="28"/>
          <w:highlight w:val="none"/>
          <w:lang w:val="en-US" w:eastAsia="zh-CN"/>
        </w:rPr>
        <w:t>竞赛单元</w:t>
      </w:r>
      <w:r>
        <w:rPr>
          <w:rFonts w:hint="eastAsia" w:ascii="仿宋_GB2312" w:hAnsi="仿宋_GB2312" w:eastAsia="仿宋_GB2312" w:cs="仿宋_GB2312"/>
          <w:sz w:val="28"/>
          <w:szCs w:val="28"/>
          <w:highlight w:val="none"/>
        </w:rPr>
        <w:t>每单项比赛时长为10分钟，总时长需要90分钟（1.5小时）（包括中途切换软件界面及提供钞、传票等比赛设备）。四个单项每项50分，共200分，4名选手独立完成四个单项，团队总分800分，占总分26.67%。</w:t>
      </w:r>
    </w:p>
    <w:p>
      <w:pPr>
        <w:adjustRightInd w:val="0"/>
        <w:snapToGrid w:val="0"/>
        <w:spacing w:line="360" w:lineRule="auto"/>
        <w:ind w:right="0" w:rightChars="0" w:firstLine="562" w:firstLineChars="200"/>
        <w:jc w:val="left"/>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2.</w:t>
      </w:r>
      <w:r>
        <w:rPr>
          <w:rFonts w:hint="default" w:ascii="仿宋_GB2312" w:hAnsi="仿宋_GB2312" w:eastAsia="仿宋_GB2312" w:cs="仿宋_GB2312"/>
          <w:b/>
          <w:bCs/>
          <w:sz w:val="28"/>
          <w:szCs w:val="28"/>
        </w:rPr>
        <w:t>“金融</w:t>
      </w:r>
      <w:r>
        <w:rPr>
          <w:rFonts w:hint="default" w:ascii="仿宋_GB2312" w:hAnsi="仿宋_GB2312" w:eastAsia="仿宋_GB2312" w:cs="仿宋_GB2312"/>
          <w:b/>
          <w:bCs/>
          <w:sz w:val="28"/>
          <w:szCs w:val="28"/>
          <w:lang w:val="en-US" w:eastAsia="zh-CN"/>
        </w:rPr>
        <w:t>综合技能</w:t>
      </w:r>
      <w:r>
        <w:rPr>
          <w:rFonts w:hint="default" w:ascii="仿宋_GB2312" w:hAnsi="仿宋_GB2312" w:eastAsia="仿宋_GB2312" w:cs="仿宋_GB2312"/>
          <w:b/>
          <w:bCs/>
          <w:sz w:val="28"/>
          <w:szCs w:val="28"/>
        </w:rPr>
        <w:t>”</w:t>
      </w:r>
      <w:r>
        <w:rPr>
          <w:rFonts w:hint="default" w:ascii="仿宋_GB2312" w:hAnsi="仿宋_GB2312" w:eastAsia="仿宋_GB2312" w:cs="仿宋_GB2312"/>
          <w:b/>
          <w:bCs/>
          <w:sz w:val="28"/>
          <w:szCs w:val="28"/>
          <w:lang w:val="en-US" w:eastAsia="zh-CN"/>
        </w:rPr>
        <w:t>模块</w:t>
      </w:r>
    </w:p>
    <w:p>
      <w:pPr>
        <w:adjustRightInd w:val="0"/>
        <w:snapToGrid w:val="0"/>
        <w:spacing w:line="360" w:lineRule="auto"/>
        <w:ind w:right="0" w:rightChars="0" w:firstLine="560" w:firstLineChars="200"/>
        <w:jc w:val="left"/>
        <w:rPr>
          <w:rFonts w:hint="default" w:ascii="仿宋_GB2312" w:hAnsi="仿宋_GB2312" w:eastAsia="仿宋_GB2312" w:cs="仿宋_GB2312"/>
          <w:color w:val="auto"/>
          <w:sz w:val="28"/>
          <w:szCs w:val="28"/>
          <w:lang w:val="en-US" w:eastAsia="zh-CN"/>
        </w:rPr>
      </w:pPr>
      <w:r>
        <w:rPr>
          <w:rFonts w:hint="eastAsia" w:ascii="Times New Roman" w:hAnsi="Times New Roman" w:eastAsia="仿宋_GB2312"/>
          <w:color w:val="auto"/>
          <w:kern w:val="0"/>
          <w:sz w:val="28"/>
          <w:szCs w:val="28"/>
          <w:lang w:val="en-US" w:eastAsia="zh-CN" w:bidi="ar"/>
        </w:rPr>
        <w:t>本模块主要考核选手在</w:t>
      </w:r>
      <w:r>
        <w:rPr>
          <w:rFonts w:ascii="Times New Roman" w:hAnsi="Times New Roman" w:eastAsia="仿宋_GB2312"/>
          <w:color w:val="auto"/>
          <w:kern w:val="0"/>
          <w:sz w:val="28"/>
          <w:szCs w:val="28"/>
          <w:lang w:bidi="ar"/>
        </w:rPr>
        <w:t>数字货币、普惠金融、绿色金融等智慧金融背景下银行、证券、保险等金融业务处理技能</w:t>
      </w:r>
      <w:r>
        <w:rPr>
          <w:rFonts w:hint="eastAsia" w:ascii="Times New Roman" w:hAnsi="Times New Roman" w:eastAsia="仿宋_GB2312"/>
          <w:color w:val="auto"/>
          <w:kern w:val="0"/>
          <w:sz w:val="28"/>
          <w:szCs w:val="28"/>
          <w:lang w:eastAsia="zh-CN" w:bidi="ar"/>
        </w:rPr>
        <w:t>，</w:t>
      </w:r>
      <w:r>
        <w:rPr>
          <w:rFonts w:hint="eastAsia" w:ascii="Times New Roman" w:hAnsi="Times New Roman" w:eastAsia="仿宋_GB2312"/>
          <w:color w:val="auto"/>
          <w:kern w:val="0"/>
          <w:sz w:val="28"/>
          <w:szCs w:val="28"/>
          <w:lang w:val="en-US" w:eastAsia="zh-CN" w:bidi="ar"/>
        </w:rPr>
        <w:t>本竞赛单元分岗位操作，主要包括大堂经理岗、综合柜台岗、客户经理岗、理财经理岗等。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大堂经理岗：</w:t>
      </w:r>
      <w:r>
        <w:rPr>
          <w:rFonts w:hint="eastAsia" w:ascii="仿宋_GB2312" w:hAnsi="仿宋_GB2312" w:eastAsia="仿宋_GB2312" w:cs="仿宋_GB2312"/>
          <w:sz w:val="28"/>
          <w:szCs w:val="28"/>
          <w:lang w:val="en-US" w:eastAsia="zh-CN"/>
        </w:rPr>
        <w:t>包含银行厅堂客户接待与引导服务，证券公司投资咨询、客户接待与业务引导，保险公司客户咨询接待与业务引导。</w:t>
      </w:r>
      <w:r>
        <w:rPr>
          <w:rFonts w:hint="eastAsia" w:ascii="仿宋_GB2312" w:hAnsi="仿宋_GB2312" w:eastAsia="仿宋_GB2312" w:cs="仿宋_GB2312"/>
          <w:sz w:val="28"/>
          <w:szCs w:val="28"/>
        </w:rPr>
        <w:t>考核选手对银行大堂经理岗业务处理流程及规范的掌握情况，包括客户引导与分流、客户问询处理、单据填写、假币鉴别，残/污损币的兑换、异议及投诉处理、签名与盖章、营销转介等。以银行厅堂自助设备区为背景，考核选手对于智能金融机具相关知识的了解，智能柜员机、便携式智能柜员机以及手机银行等机具的具体操作使用。</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综合柜员岗：考核选手对银行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证券、保险等金融机构相关</w:t>
      </w:r>
      <w:r>
        <w:rPr>
          <w:rFonts w:hint="eastAsia" w:ascii="仿宋_GB2312" w:hAnsi="仿宋_GB2312" w:eastAsia="仿宋_GB2312" w:cs="仿宋_GB2312"/>
          <w:sz w:val="28"/>
          <w:szCs w:val="28"/>
        </w:rPr>
        <w:t>岗</w:t>
      </w:r>
      <w:r>
        <w:rPr>
          <w:rFonts w:hint="eastAsia" w:ascii="仿宋_GB2312" w:hAnsi="仿宋_GB2312" w:eastAsia="仿宋_GB2312" w:cs="仿宋_GB2312"/>
          <w:sz w:val="28"/>
          <w:szCs w:val="28"/>
          <w:lang w:val="en-US" w:eastAsia="zh-CN"/>
        </w:rPr>
        <w:t>位</w:t>
      </w:r>
      <w:r>
        <w:rPr>
          <w:rFonts w:hint="eastAsia" w:ascii="仿宋_GB2312" w:hAnsi="仿宋_GB2312" w:eastAsia="仿宋_GB2312" w:cs="仿宋_GB2312"/>
          <w:sz w:val="28"/>
          <w:szCs w:val="28"/>
        </w:rPr>
        <w:t>业务处理流程及规范的掌握情况，包括商业银行个人业务、公司业务、支付结算业务等。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客户经理岗：考核选手对</w:t>
      </w:r>
      <w:r>
        <w:rPr>
          <w:rFonts w:hint="eastAsia" w:ascii="仿宋_GB2312" w:hAnsi="仿宋_GB2312" w:eastAsia="仿宋_GB2312" w:cs="仿宋_GB2312"/>
          <w:sz w:val="28"/>
          <w:szCs w:val="28"/>
          <w:lang w:val="en-US" w:eastAsia="zh-CN"/>
        </w:rPr>
        <w:t>公司</w:t>
      </w:r>
      <w:r>
        <w:rPr>
          <w:rFonts w:hint="eastAsia" w:ascii="仿宋_GB2312" w:hAnsi="仿宋_GB2312" w:eastAsia="仿宋_GB2312" w:cs="仿宋_GB2312"/>
          <w:sz w:val="28"/>
          <w:szCs w:val="28"/>
        </w:rPr>
        <w:t>信贷</w:t>
      </w:r>
      <w:r>
        <w:rPr>
          <w:rFonts w:hint="eastAsia" w:ascii="仿宋_GB2312" w:hAnsi="仿宋_GB2312" w:eastAsia="仿宋_GB2312" w:cs="仿宋_GB2312"/>
          <w:sz w:val="28"/>
          <w:szCs w:val="28"/>
          <w:lang w:val="en-US" w:eastAsia="zh-CN"/>
        </w:rPr>
        <w:t>及个人贷款</w:t>
      </w:r>
      <w:r>
        <w:rPr>
          <w:rFonts w:hint="eastAsia" w:ascii="仿宋_GB2312" w:hAnsi="仿宋_GB2312" w:eastAsia="仿宋_GB2312" w:cs="仿宋_GB2312"/>
          <w:sz w:val="28"/>
          <w:szCs w:val="28"/>
        </w:rPr>
        <w:t>业务处理能力，包括信贷客户信息导入、信贷客户分析、客户授信、业务受理</w:t>
      </w:r>
      <w:r>
        <w:rPr>
          <w:rFonts w:hint="eastAsia" w:ascii="仿宋_GB2312" w:hAnsi="仿宋_GB2312" w:eastAsia="仿宋_GB2312" w:cs="仿宋_GB2312"/>
          <w:sz w:val="28"/>
          <w:szCs w:val="28"/>
          <w:lang w:val="en-US" w:eastAsia="zh-CN"/>
        </w:rPr>
        <w:t>以及证券公司、保险公司业务拓展</w:t>
      </w:r>
      <w:r>
        <w:rPr>
          <w:rFonts w:hint="eastAsia" w:ascii="仿宋_GB2312" w:hAnsi="仿宋_GB2312" w:eastAsia="仿宋_GB2312" w:cs="仿宋_GB2312"/>
          <w:sz w:val="28"/>
          <w:szCs w:val="28"/>
        </w:rPr>
        <w:t>等</w:t>
      </w:r>
      <w:r>
        <w:rPr>
          <w:rFonts w:hint="eastAsia" w:ascii="仿宋_GB2312" w:hAnsi="仿宋_GB2312" w:eastAsia="仿宋_GB2312" w:cs="仿宋_GB2312"/>
          <w:sz w:val="28"/>
          <w:szCs w:val="28"/>
          <w:lang w:val="en-US" w:eastAsia="zh-CN"/>
        </w:rPr>
        <w:t>相关业务</w:t>
      </w:r>
      <w:r>
        <w:rPr>
          <w:rFonts w:hint="eastAsia" w:ascii="仿宋_GB2312" w:hAnsi="仿宋_GB2312" w:eastAsia="仿宋_GB2312" w:cs="仿宋_GB2312"/>
          <w:sz w:val="28"/>
          <w:szCs w:val="28"/>
        </w:rPr>
        <w:t>。</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理财经理岗：考核选手对理财经理岗</w:t>
      </w:r>
      <w:r>
        <w:rPr>
          <w:rFonts w:hint="eastAsia" w:ascii="仿宋_GB2312" w:hAnsi="仿宋_GB2312" w:eastAsia="仿宋_GB2312" w:cs="仿宋_GB2312"/>
          <w:sz w:val="28"/>
          <w:szCs w:val="28"/>
          <w:lang w:val="en-US" w:eastAsia="zh-CN"/>
        </w:rPr>
        <w:t>位</w:t>
      </w:r>
      <w:r>
        <w:rPr>
          <w:rFonts w:hint="eastAsia" w:ascii="仿宋_GB2312" w:hAnsi="仿宋_GB2312" w:eastAsia="仿宋_GB2312" w:cs="仿宋_GB2312"/>
          <w:sz w:val="28"/>
          <w:szCs w:val="28"/>
        </w:rPr>
        <w:t>业务处理能力，包括</w:t>
      </w:r>
      <w:r>
        <w:rPr>
          <w:rFonts w:hint="eastAsia" w:ascii="仿宋_GB2312" w:hAnsi="仿宋_GB2312" w:eastAsia="仿宋_GB2312" w:cs="仿宋_GB2312"/>
          <w:sz w:val="28"/>
          <w:szCs w:val="28"/>
          <w:lang w:val="en-US" w:eastAsia="zh-CN"/>
        </w:rPr>
        <w:t>家庭理财规划，涵盖财务分析、教育规划、理财需求分析等，证券投资规划、保险投资规划等理财规划方案设计。</w:t>
      </w:r>
      <w:r>
        <w:rPr>
          <w:rFonts w:hint="eastAsia" w:ascii="仿宋_GB2312" w:hAnsi="仿宋_GB2312" w:eastAsia="仿宋_GB2312" w:cs="仿宋_GB2312"/>
          <w:sz w:val="28"/>
          <w:szCs w:val="28"/>
        </w:rPr>
        <w:t>完成理财客户信息管理、客户财务状况分析与研判、综合理财规划方案设计。</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“金融</w:t>
      </w:r>
      <w:r>
        <w:rPr>
          <w:rFonts w:hint="eastAsia" w:ascii="仿宋_GB2312" w:hAnsi="仿宋_GB2312" w:eastAsia="仿宋_GB2312" w:cs="仿宋_GB2312"/>
          <w:sz w:val="28"/>
          <w:szCs w:val="28"/>
          <w:lang w:val="en-US" w:eastAsia="zh-CN"/>
        </w:rPr>
        <w:t>综合技能</w:t>
      </w:r>
      <w:r>
        <w:rPr>
          <w:rFonts w:hint="eastAsia" w:ascii="仿宋_GB2312" w:hAnsi="仿宋_GB2312" w:eastAsia="仿宋_GB2312" w:cs="仿宋_GB2312"/>
          <w:sz w:val="28"/>
          <w:szCs w:val="28"/>
        </w:rPr>
        <w:t>”赛项比赛时长120分钟（2小时），每个岗位200分，团队总分800分，占总分26.67%。团队4位选手分工协作完成，选手岗位赛前抽签确定。</w:t>
      </w:r>
    </w:p>
    <w:p>
      <w:pPr>
        <w:adjustRightInd w:val="0"/>
        <w:snapToGrid w:val="0"/>
        <w:spacing w:line="360" w:lineRule="auto"/>
        <w:ind w:right="0" w:rightChars="0" w:firstLine="562" w:firstLineChars="200"/>
        <w:jc w:val="left"/>
        <w:rPr>
          <w:rFonts w:hint="eastAsia"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3.</w:t>
      </w:r>
      <w:r>
        <w:rPr>
          <w:rFonts w:hint="default" w:ascii="仿宋_GB2312" w:hAnsi="仿宋_GB2312" w:eastAsia="仿宋_GB2312" w:cs="仿宋_GB2312"/>
          <w:b/>
          <w:bCs/>
          <w:sz w:val="28"/>
          <w:szCs w:val="28"/>
        </w:rPr>
        <w:t>“</w:t>
      </w:r>
      <w:r>
        <w:rPr>
          <w:rFonts w:hint="default" w:ascii="仿宋_GB2312" w:hAnsi="仿宋_GB2312" w:eastAsia="仿宋_GB2312" w:cs="仿宋_GB2312"/>
          <w:b/>
          <w:bCs/>
          <w:sz w:val="28"/>
          <w:szCs w:val="28"/>
          <w:lang w:val="en-US" w:eastAsia="zh-CN"/>
        </w:rPr>
        <w:t>数字金融业务</w:t>
      </w:r>
      <w:r>
        <w:rPr>
          <w:rFonts w:hint="default" w:ascii="仿宋_GB2312" w:hAnsi="仿宋_GB2312" w:eastAsia="仿宋_GB2312" w:cs="仿宋_GB2312"/>
          <w:b/>
          <w:bCs/>
          <w:sz w:val="28"/>
          <w:szCs w:val="28"/>
        </w:rPr>
        <w:t>”</w:t>
      </w:r>
      <w:r>
        <w:rPr>
          <w:rFonts w:hint="default" w:ascii="仿宋_GB2312" w:hAnsi="仿宋_GB2312" w:eastAsia="仿宋_GB2312" w:cs="仿宋_GB2312"/>
          <w:b/>
          <w:bCs/>
          <w:sz w:val="28"/>
          <w:szCs w:val="28"/>
          <w:lang w:val="en-US" w:eastAsia="zh-CN"/>
        </w:rPr>
        <w:t>模块</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本模块</w:t>
      </w:r>
      <w:r>
        <w:rPr>
          <w:rFonts w:hint="eastAsia" w:ascii="仿宋_GB2312" w:hAnsi="仿宋_GB2312" w:eastAsia="仿宋_GB2312" w:cs="仿宋_GB2312"/>
          <w:sz w:val="28"/>
          <w:szCs w:val="28"/>
          <w:lang w:val="en-US" w:eastAsia="zh-CN"/>
        </w:rPr>
        <w:t>竞赛内容</w:t>
      </w:r>
      <w:r>
        <w:rPr>
          <w:rFonts w:hint="eastAsia" w:ascii="仿宋_GB2312" w:hAnsi="仿宋_GB2312" w:eastAsia="仿宋_GB2312" w:cs="仿宋_GB2312"/>
          <w:sz w:val="28"/>
          <w:szCs w:val="28"/>
        </w:rPr>
        <w:t>根据不同</w:t>
      </w:r>
      <w:r>
        <w:rPr>
          <w:rFonts w:hint="eastAsia" w:ascii="仿宋_GB2312" w:hAnsi="仿宋_GB2312" w:eastAsia="仿宋_GB2312" w:cs="仿宋_GB2312"/>
          <w:sz w:val="28"/>
          <w:szCs w:val="28"/>
          <w:lang w:val="en-US" w:eastAsia="zh-CN"/>
        </w:rPr>
        <w:t>金融科技</w:t>
      </w:r>
      <w:r>
        <w:rPr>
          <w:rFonts w:hint="eastAsia" w:ascii="仿宋_GB2312" w:hAnsi="仿宋_GB2312" w:eastAsia="仿宋_GB2312" w:cs="仿宋_GB2312"/>
          <w:sz w:val="28"/>
          <w:szCs w:val="28"/>
        </w:rPr>
        <w:t>应用场景的工作岗位设计竞赛任务。针对每个</w:t>
      </w:r>
      <w:r>
        <w:rPr>
          <w:rFonts w:hint="eastAsia" w:ascii="仿宋_GB2312" w:hAnsi="仿宋_GB2312" w:eastAsia="仿宋_GB2312" w:cs="仿宋_GB2312"/>
          <w:sz w:val="28"/>
          <w:szCs w:val="28"/>
          <w:lang w:val="en-US" w:eastAsia="zh-CN"/>
        </w:rPr>
        <w:t>竞赛单元</w:t>
      </w:r>
      <w:r>
        <w:rPr>
          <w:rFonts w:hint="eastAsia" w:ascii="仿宋_GB2312" w:hAnsi="仿宋_GB2312" w:eastAsia="仿宋_GB2312" w:cs="仿宋_GB2312"/>
          <w:sz w:val="28"/>
          <w:szCs w:val="28"/>
        </w:rPr>
        <w:t>参赛选手需要分别担任不同角色，以团队成员分工协作</w:t>
      </w:r>
      <w:r>
        <w:rPr>
          <w:rFonts w:hint="eastAsia" w:ascii="仿宋_GB2312" w:hAnsi="仿宋_GB2312" w:eastAsia="仿宋_GB2312" w:cs="仿宋_GB2312"/>
          <w:sz w:val="28"/>
          <w:szCs w:val="28"/>
          <w:lang w:val="en-US" w:eastAsia="zh-CN"/>
        </w:rPr>
        <w:t>方式</w:t>
      </w:r>
      <w:r>
        <w:rPr>
          <w:rFonts w:hint="eastAsia" w:ascii="仿宋_GB2312" w:hAnsi="仿宋_GB2312" w:eastAsia="仿宋_GB2312" w:cs="仿宋_GB2312"/>
          <w:sz w:val="28"/>
          <w:szCs w:val="28"/>
        </w:rPr>
        <w:t>共同完成，主要考核参赛选手对</w:t>
      </w:r>
      <w:r>
        <w:rPr>
          <w:rFonts w:hint="eastAsia" w:ascii="仿宋_GB2312" w:hAnsi="仿宋_GB2312" w:eastAsia="仿宋_GB2312" w:cs="仿宋_GB2312"/>
          <w:sz w:val="28"/>
          <w:szCs w:val="28"/>
          <w:lang w:val="en-US" w:eastAsia="zh-CN"/>
        </w:rPr>
        <w:t>数字金融</w:t>
      </w:r>
      <w:r>
        <w:rPr>
          <w:rFonts w:hint="eastAsia" w:ascii="仿宋_GB2312" w:hAnsi="仿宋_GB2312" w:eastAsia="仿宋_GB2312" w:cs="仿宋_GB2312"/>
          <w:sz w:val="28"/>
          <w:szCs w:val="28"/>
        </w:rPr>
        <w:t>业务场景的专业技能掌握情况。</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大数据金融业务：考查选手大数据应用能力，包括物联网端数据采集、大数据云服务维护、云存储等操作；基于网络数据进行金融大数据采集（数据采集点设计）数据导入、数据标注、数据存储、数据可视化、数据挖掘、模型调参、预测分析等操作；考查人工智能机器学习算法应用。</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区块链金融业务：掌握选手区块链应用能力，包括链搭建（联盟链）、智能合约编写等。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支付业务数字化：考查选手数字人民币业务操作能力。包括数字人民币生成、数字人民币发行、数字人民币钱包开发、数字人民币支付等相关业务操作；第三方支付应用；考查跨境支付业务，包括区块链跨境汇款业务、数字人民币跨境支付和多边央行数字货币桥“货币桥”业务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银行业务数字化：考查选手信贷业务操作能力。包括企业及个人的信用管理、小微金融（网络小额贷款）及个人消费贷；考查智能风控操作，包括贷前管理（信贷审批）、贷中管理、贷后管理、客服服务、风险预警等；考查大财富管理操作，包括银行账户开户（二类）、个人养老金、理财产品投资、个税减免等操作；考查银行行业精细化用户运营，包括针对银行产品开展用户画像分析、营销策略制</w:t>
      </w:r>
      <w:r>
        <w:rPr>
          <w:rFonts w:hint="eastAsia" w:ascii="仿宋_GB2312" w:hAnsi="仿宋_GB2312" w:eastAsia="仿宋_GB2312" w:cs="仿宋_GB2312"/>
          <w:sz w:val="28"/>
          <w:szCs w:val="28"/>
          <w:lang w:val="en-US" w:eastAsia="zh-CN"/>
        </w:rPr>
        <w:t>定</w:t>
      </w:r>
      <w:r>
        <w:rPr>
          <w:rFonts w:hint="eastAsia" w:ascii="仿宋_GB2312" w:hAnsi="仿宋_GB2312" w:eastAsia="仿宋_GB2312" w:cs="仿宋_GB2312"/>
          <w:sz w:val="28"/>
          <w:szCs w:val="28"/>
        </w:rPr>
        <w:t>、营销方案撰写、活动文案写作及活动上线实施等。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证券业务数字化：考查选手在操作证券业务数字化方面的综合能力。包括智能投顾和智能投研业务，智能投顾包括精准选择客户、设计金融服务方案、构建投资组合、投资组合调仓、定期出具投资业绩报告等，智能投研包括整合市场信息、分析市场投资情绪、输出投研报告等；量化金融（程序化交易）业务，包括制定交易策略、财务分析、条件选股、历史数据回测、参数优化、模拟应用检验、跟踪监测等；考查互联网基金销售业务；考查证券行业精细化用户运营，包括针对证券产品开展用户画像分析、营销策略制</w:t>
      </w:r>
      <w:r>
        <w:rPr>
          <w:rFonts w:hint="eastAsia" w:ascii="仿宋_GB2312" w:hAnsi="仿宋_GB2312" w:eastAsia="仿宋_GB2312" w:cs="仿宋_GB2312"/>
          <w:sz w:val="28"/>
          <w:szCs w:val="28"/>
          <w:lang w:val="en-US" w:eastAsia="zh-CN"/>
        </w:rPr>
        <w:t>定</w:t>
      </w:r>
      <w:r>
        <w:rPr>
          <w:rFonts w:hint="eastAsia" w:ascii="仿宋_GB2312" w:hAnsi="仿宋_GB2312" w:eastAsia="仿宋_GB2312" w:cs="仿宋_GB2312"/>
          <w:sz w:val="28"/>
          <w:szCs w:val="28"/>
        </w:rPr>
        <w:t>、营销方案撰写、活动文案写作及活动上线实施等。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eastAsia="zh-CN"/>
        </w:rPr>
        <w:t>）保险业业务数字化</w:t>
      </w:r>
      <w:r>
        <w:rPr>
          <w:rFonts w:hint="eastAsia" w:ascii="仿宋_GB2312" w:hAnsi="仿宋_GB2312" w:eastAsia="仿宋_GB2312" w:cs="仿宋_GB2312"/>
          <w:sz w:val="28"/>
          <w:szCs w:val="28"/>
        </w:rPr>
        <w:t>：考查选手关于</w:t>
      </w:r>
      <w:r>
        <w:rPr>
          <w:rFonts w:hint="eastAsia" w:ascii="仿宋_GB2312" w:hAnsi="仿宋_GB2312" w:eastAsia="仿宋_GB2312" w:cs="仿宋_GB2312"/>
          <w:sz w:val="28"/>
          <w:szCs w:val="28"/>
          <w:lang w:eastAsia="zh-CN"/>
        </w:rPr>
        <w:t>保险业业务数字化</w:t>
      </w:r>
      <w:r>
        <w:rPr>
          <w:rFonts w:hint="eastAsia" w:ascii="仿宋_GB2312" w:hAnsi="仿宋_GB2312" w:eastAsia="仿宋_GB2312" w:cs="仿宋_GB2312"/>
          <w:sz w:val="28"/>
          <w:szCs w:val="28"/>
        </w:rPr>
        <w:t>转型方面的综合业务能力。包括车险精准定价，如UBI车险等；智能理赔，包括航空延误险、意外险等；数字医疗与数字健康保险；保险行业精细化用户运营，包括针对互联网保险产品开展用户画像分析、营销策略制订、业务营销方案撰写、活动文案写作及活动上线实施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金融科技业务创新：考查选手</w:t>
      </w:r>
      <w:r>
        <w:rPr>
          <w:rFonts w:hint="eastAsia" w:ascii="仿宋_GB2312" w:hAnsi="仿宋_GB2312" w:eastAsia="仿宋_GB2312" w:cs="仿宋_GB2312"/>
          <w:sz w:val="28"/>
          <w:szCs w:val="28"/>
          <w:lang w:val="en-US" w:eastAsia="zh-CN"/>
        </w:rPr>
        <w:t>在金融科技业务创新方面的应用能力及</w:t>
      </w:r>
      <w:r>
        <w:rPr>
          <w:rFonts w:hint="eastAsia" w:ascii="仿宋_GB2312" w:hAnsi="仿宋_GB2312" w:eastAsia="仿宋_GB2312" w:cs="仿宋_GB2312"/>
          <w:sz w:val="28"/>
          <w:szCs w:val="28"/>
        </w:rPr>
        <w:t>数字供应链金融应用能力，包括</w:t>
      </w:r>
      <w:r>
        <w:rPr>
          <w:rFonts w:hint="eastAsia" w:ascii="仿宋_GB2312" w:hAnsi="仿宋_GB2312" w:eastAsia="仿宋_GB2312" w:cs="仿宋_GB2312"/>
          <w:sz w:val="28"/>
          <w:szCs w:val="28"/>
          <w:lang w:val="en-US" w:eastAsia="zh-CN"/>
        </w:rPr>
        <w:t>采用</w:t>
      </w:r>
      <w:r>
        <w:rPr>
          <w:rFonts w:hint="eastAsia" w:ascii="仿宋_GB2312" w:hAnsi="仿宋_GB2312" w:eastAsia="仿宋_GB2312" w:cs="仿宋_GB2312"/>
          <w:sz w:val="28"/>
          <w:szCs w:val="28"/>
        </w:rPr>
        <w:t>数字技术改造供应链</w:t>
      </w:r>
      <w:r>
        <w:rPr>
          <w:rFonts w:hint="eastAsia" w:ascii="仿宋_GB2312" w:hAnsi="仿宋_GB2312" w:eastAsia="仿宋_GB2312" w:cs="仿宋_GB2312"/>
          <w:sz w:val="28"/>
          <w:szCs w:val="28"/>
          <w:lang w:val="en-US" w:eastAsia="zh-CN"/>
        </w:rPr>
        <w:t>金融、金融科技赋能新金融业务</w:t>
      </w:r>
      <w:r>
        <w:rPr>
          <w:rFonts w:hint="eastAsia" w:ascii="仿宋_GB2312" w:hAnsi="仿宋_GB2312" w:eastAsia="仿宋_GB2312" w:cs="仿宋_GB2312"/>
          <w:sz w:val="28"/>
          <w:szCs w:val="28"/>
        </w:rPr>
        <w:t>、信用结算</w:t>
      </w:r>
      <w:r>
        <w:rPr>
          <w:rFonts w:hint="eastAsia" w:ascii="仿宋_GB2312" w:hAnsi="仿宋_GB2312" w:eastAsia="仿宋_GB2312" w:cs="仿宋_GB2312"/>
          <w:sz w:val="28"/>
          <w:szCs w:val="28"/>
          <w:lang w:val="en-US" w:eastAsia="zh-CN"/>
        </w:rPr>
        <w:t>数字化</w:t>
      </w:r>
      <w:r>
        <w:rPr>
          <w:rFonts w:hint="eastAsia" w:ascii="仿宋_GB2312" w:hAnsi="仿宋_GB2312" w:eastAsia="仿宋_GB2312" w:cs="仿宋_GB2312"/>
          <w:sz w:val="28"/>
          <w:szCs w:val="28"/>
        </w:rPr>
        <w:t>、保理业务</w:t>
      </w:r>
      <w:r>
        <w:rPr>
          <w:rFonts w:hint="eastAsia" w:ascii="仿宋_GB2312" w:hAnsi="仿宋_GB2312" w:eastAsia="仿宋_GB2312" w:cs="仿宋_GB2312"/>
          <w:sz w:val="28"/>
          <w:szCs w:val="28"/>
          <w:lang w:val="en-US" w:eastAsia="zh-CN"/>
        </w:rPr>
        <w:t>数字化等</w:t>
      </w:r>
      <w:r>
        <w:rPr>
          <w:rFonts w:hint="eastAsia" w:ascii="仿宋_GB2312" w:hAnsi="仿宋_GB2312" w:eastAsia="仿宋_GB2312" w:cs="仿宋_GB2312"/>
          <w:sz w:val="28"/>
          <w:szCs w:val="28"/>
        </w:rPr>
        <w:t>。</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数字金融业务监管：考查选手</w:t>
      </w:r>
      <w:r>
        <w:rPr>
          <w:rFonts w:hint="eastAsia" w:ascii="仿宋_GB2312" w:hAnsi="仿宋_GB2312" w:eastAsia="仿宋_GB2312" w:cs="仿宋_GB2312"/>
          <w:sz w:val="28"/>
          <w:szCs w:val="28"/>
          <w:lang w:val="en-US" w:eastAsia="zh-CN"/>
        </w:rPr>
        <w:t>对数字金融风险特征识别能力及运用技术手段进行风险防范能力，包含</w:t>
      </w:r>
      <w:r>
        <w:rPr>
          <w:rFonts w:hint="eastAsia" w:ascii="仿宋_GB2312" w:hAnsi="仿宋_GB2312" w:eastAsia="仿宋_GB2312" w:cs="仿宋_GB2312"/>
          <w:sz w:val="28"/>
          <w:szCs w:val="28"/>
        </w:rPr>
        <w:t>监管沙盒、非现场审计、平台企业监管等</w:t>
      </w:r>
      <w:r>
        <w:rPr>
          <w:rFonts w:hint="eastAsia" w:ascii="仿宋_GB2312" w:hAnsi="仿宋_GB2312" w:eastAsia="仿宋_GB2312" w:cs="仿宋_GB2312"/>
          <w:sz w:val="28"/>
          <w:szCs w:val="28"/>
          <w:lang w:val="en-US" w:eastAsia="zh-CN"/>
        </w:rPr>
        <w:t>相关业务</w:t>
      </w:r>
      <w:r>
        <w:rPr>
          <w:rFonts w:hint="eastAsia" w:ascii="仿宋_GB2312" w:hAnsi="仿宋_GB2312" w:eastAsia="仿宋_GB2312" w:cs="仿宋_GB2312"/>
          <w:sz w:val="28"/>
          <w:szCs w:val="28"/>
        </w:rPr>
        <w:t>应用能力。</w:t>
      </w:r>
    </w:p>
    <w:p>
      <w:pPr>
        <w:numPr>
          <w:ilvl w:val="0"/>
          <w:numId w:val="0"/>
        </w:numPr>
        <w:adjustRightInd w:val="0"/>
        <w:snapToGrid w:val="0"/>
        <w:spacing w:line="360" w:lineRule="auto"/>
        <w:ind w:right="0" w:rightChars="0" w:firstLine="560" w:firstLineChars="200"/>
        <w:jc w:val="left"/>
        <w:rPr>
          <w:rFonts w:hint="default" w:ascii="仿宋_GB2312" w:hAnsi="仿宋_GB2312" w:eastAsia="仿宋_GB2312" w:cs="仿宋_GB2312"/>
          <w:kern w:val="2"/>
          <w:sz w:val="28"/>
          <w:szCs w:val="28"/>
        </w:rPr>
      </w:pPr>
      <w:r>
        <w:rPr>
          <w:rFonts w:hint="default" w:ascii="仿宋_GB2312" w:hAnsi="仿宋_GB2312" w:eastAsia="仿宋_GB2312" w:cs="仿宋_GB2312"/>
          <w:kern w:val="2"/>
          <w:sz w:val="28"/>
          <w:szCs w:val="28"/>
        </w:rPr>
        <w:t>“</w:t>
      </w:r>
      <w:r>
        <w:rPr>
          <w:rFonts w:hint="default" w:ascii="仿宋_GB2312" w:hAnsi="仿宋_GB2312" w:eastAsia="仿宋_GB2312" w:cs="仿宋_GB2312"/>
          <w:kern w:val="2"/>
          <w:sz w:val="28"/>
          <w:szCs w:val="28"/>
          <w:lang w:val="en-US" w:eastAsia="zh-CN"/>
        </w:rPr>
        <w:t>数字金融业务</w:t>
      </w:r>
      <w:r>
        <w:rPr>
          <w:rFonts w:hint="default" w:ascii="仿宋_GB2312" w:hAnsi="仿宋_GB2312" w:eastAsia="仿宋_GB2312" w:cs="仿宋_GB2312"/>
          <w:kern w:val="2"/>
          <w:sz w:val="28"/>
          <w:szCs w:val="28"/>
        </w:rPr>
        <w:t>”</w:t>
      </w:r>
      <w:r>
        <w:rPr>
          <w:rFonts w:hint="default" w:ascii="仿宋_GB2312" w:hAnsi="仿宋_GB2312" w:eastAsia="仿宋_GB2312" w:cs="仿宋_GB2312"/>
          <w:kern w:val="2"/>
          <w:sz w:val="28"/>
          <w:szCs w:val="28"/>
          <w:lang w:val="en-US" w:eastAsia="zh-CN"/>
        </w:rPr>
        <w:t>模块</w:t>
      </w:r>
      <w:r>
        <w:rPr>
          <w:rFonts w:hint="default" w:ascii="仿宋_GB2312" w:hAnsi="仿宋_GB2312" w:eastAsia="仿宋_GB2312" w:cs="仿宋_GB2312"/>
          <w:kern w:val="2"/>
          <w:sz w:val="28"/>
          <w:szCs w:val="28"/>
        </w:rPr>
        <w:t>比赛时长180分钟（3小时）。“</w:t>
      </w:r>
      <w:r>
        <w:rPr>
          <w:rFonts w:hint="default" w:ascii="仿宋_GB2312" w:hAnsi="仿宋_GB2312" w:eastAsia="仿宋_GB2312" w:cs="仿宋_GB2312"/>
          <w:kern w:val="2"/>
          <w:sz w:val="28"/>
          <w:szCs w:val="28"/>
          <w:lang w:val="en-US" w:eastAsia="zh-CN"/>
        </w:rPr>
        <w:t>数字金融业务</w:t>
      </w:r>
      <w:r>
        <w:rPr>
          <w:rFonts w:hint="default" w:ascii="仿宋_GB2312" w:hAnsi="仿宋_GB2312" w:eastAsia="仿宋_GB2312" w:cs="仿宋_GB2312"/>
          <w:kern w:val="2"/>
          <w:sz w:val="28"/>
          <w:szCs w:val="28"/>
        </w:rPr>
        <w:t>”赛项总分1000分，占总分33.3%，其中大数据金融</w:t>
      </w:r>
      <w:r>
        <w:rPr>
          <w:rFonts w:hint="default" w:ascii="仿宋_GB2312" w:hAnsi="仿宋_GB2312" w:eastAsia="仿宋_GB2312" w:cs="仿宋_GB2312"/>
          <w:kern w:val="2"/>
          <w:sz w:val="28"/>
          <w:szCs w:val="28"/>
          <w:lang w:val="en-US" w:eastAsia="zh-CN"/>
        </w:rPr>
        <w:t>业务</w:t>
      </w:r>
      <w:r>
        <w:rPr>
          <w:rFonts w:hint="default" w:ascii="仿宋_GB2312" w:hAnsi="仿宋_GB2312" w:eastAsia="仿宋_GB2312" w:cs="仿宋_GB2312"/>
          <w:kern w:val="2"/>
          <w:sz w:val="28"/>
          <w:szCs w:val="28"/>
        </w:rPr>
        <w:t>100分、区块链金融</w:t>
      </w:r>
      <w:r>
        <w:rPr>
          <w:rFonts w:hint="default" w:ascii="仿宋_GB2312" w:hAnsi="仿宋_GB2312" w:eastAsia="仿宋_GB2312" w:cs="仿宋_GB2312"/>
          <w:kern w:val="2"/>
          <w:sz w:val="28"/>
          <w:szCs w:val="28"/>
          <w:lang w:val="en-US" w:eastAsia="zh-CN"/>
        </w:rPr>
        <w:t>业务</w:t>
      </w:r>
      <w:r>
        <w:rPr>
          <w:rFonts w:hint="default" w:ascii="仿宋_GB2312" w:hAnsi="仿宋_GB2312" w:eastAsia="仿宋_GB2312" w:cs="仿宋_GB2312"/>
          <w:kern w:val="2"/>
          <w:sz w:val="28"/>
          <w:szCs w:val="28"/>
        </w:rPr>
        <w:t>150分、支付业务数字化150分、银行业务数字化150分、证券业务数字化200分、</w:t>
      </w:r>
      <w:r>
        <w:rPr>
          <w:rFonts w:hint="default" w:ascii="仿宋_GB2312" w:hAnsi="仿宋_GB2312" w:eastAsia="仿宋_GB2312" w:cs="仿宋_GB2312"/>
          <w:kern w:val="2"/>
          <w:sz w:val="28"/>
          <w:szCs w:val="28"/>
          <w:lang w:eastAsia="zh-CN"/>
        </w:rPr>
        <w:t>保险业业务数字化</w:t>
      </w:r>
      <w:r>
        <w:rPr>
          <w:rFonts w:hint="default" w:ascii="仿宋_GB2312" w:hAnsi="仿宋_GB2312" w:eastAsia="仿宋_GB2312" w:cs="仿宋_GB2312"/>
          <w:kern w:val="2"/>
          <w:sz w:val="28"/>
          <w:szCs w:val="28"/>
        </w:rPr>
        <w:t>150分、金融科技业务创新50分、数字金融业务监管50分。团队4位选手合作完成。</w:t>
      </w:r>
    </w:p>
    <w:p>
      <w:pPr>
        <w:ind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lang w:eastAsia="zh-CN"/>
        </w:rPr>
        <w:t>（</w:t>
      </w:r>
      <w:r>
        <w:rPr>
          <w:rFonts w:hint="eastAsia" w:ascii="楷体" w:hAnsi="楷体" w:eastAsia="楷体" w:cs="楷体"/>
          <w:b/>
          <w:bCs/>
          <w:spacing w:val="-4"/>
          <w:sz w:val="28"/>
          <w:szCs w:val="28"/>
          <w:highlight w:val="none"/>
          <w:lang w:val="en-US" w:eastAsia="zh-CN"/>
        </w:rPr>
        <w:t>二</w:t>
      </w:r>
      <w:r>
        <w:rPr>
          <w:rFonts w:hint="eastAsia" w:ascii="楷体" w:hAnsi="楷体" w:eastAsia="楷体" w:cs="楷体"/>
          <w:b/>
          <w:bCs/>
          <w:spacing w:val="-4"/>
          <w:sz w:val="28"/>
          <w:szCs w:val="28"/>
          <w:highlight w:val="none"/>
          <w:lang w:eastAsia="zh-CN"/>
        </w:rPr>
        <w:t>）</w:t>
      </w:r>
      <w:r>
        <w:rPr>
          <w:rFonts w:hint="eastAsia" w:ascii="楷体" w:hAnsi="楷体" w:eastAsia="楷体" w:cs="楷体"/>
          <w:b/>
          <w:bCs/>
          <w:spacing w:val="-4"/>
          <w:sz w:val="28"/>
          <w:szCs w:val="28"/>
          <w:highlight w:val="none"/>
        </w:rPr>
        <w:t>赛项模块、比赛时长及分值占比</w:t>
      </w:r>
    </w:p>
    <w:tbl>
      <w:tblPr>
        <w:tblStyle w:val="17"/>
        <w:tblW w:w="916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88"/>
        <w:gridCol w:w="1729"/>
        <w:gridCol w:w="3821"/>
        <w:gridCol w:w="1315"/>
        <w:gridCol w:w="13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6" w:hRule="atLeast"/>
          <w:jc w:val="center"/>
        </w:trPr>
        <w:tc>
          <w:tcPr>
            <w:tcW w:w="2717" w:type="dxa"/>
            <w:gridSpan w:val="2"/>
            <w:vAlign w:val="bottom"/>
          </w:tcPr>
          <w:p>
            <w:pPr>
              <w:spacing w:line="360" w:lineRule="auto"/>
              <w:ind w:right="210" w:rightChars="100"/>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模块</w:t>
            </w:r>
          </w:p>
        </w:tc>
        <w:tc>
          <w:tcPr>
            <w:tcW w:w="3821" w:type="dxa"/>
            <w:vAlign w:val="bottom"/>
          </w:tcPr>
          <w:p>
            <w:pPr>
              <w:spacing w:line="360" w:lineRule="auto"/>
              <w:ind w:right="210" w:rightChars="100"/>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主要内容</w:t>
            </w:r>
          </w:p>
        </w:tc>
        <w:tc>
          <w:tcPr>
            <w:tcW w:w="1315" w:type="dxa"/>
            <w:vAlign w:val="bottom"/>
          </w:tcPr>
          <w:p>
            <w:pPr>
              <w:spacing w:line="360" w:lineRule="auto"/>
              <w:ind w:right="-80" w:rightChars="-38"/>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比赛时长</w:t>
            </w:r>
          </w:p>
        </w:tc>
        <w:tc>
          <w:tcPr>
            <w:tcW w:w="1315" w:type="dxa"/>
            <w:vAlign w:val="bottom"/>
          </w:tcPr>
          <w:p>
            <w:pPr>
              <w:spacing w:line="360" w:lineRule="auto"/>
              <w:ind w:right="210" w:rightChars="100"/>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4" w:hRule="atLeast"/>
          <w:jc w:val="center"/>
        </w:trPr>
        <w:tc>
          <w:tcPr>
            <w:tcW w:w="988" w:type="dxa"/>
            <w:vMerge w:val="restart"/>
            <w:vAlign w:val="center"/>
          </w:tcPr>
          <w:p>
            <w:pPr>
              <w:adjustRightInd w:val="0"/>
              <w:snapToGrid w:val="0"/>
              <w:spacing w:line="360" w:lineRule="auto"/>
              <w:ind w:right="0" w:rightChars="0"/>
              <w:jc w:val="center"/>
              <w:rPr>
                <w:rFonts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模块一</w:t>
            </w:r>
          </w:p>
        </w:tc>
        <w:tc>
          <w:tcPr>
            <w:tcW w:w="1729" w:type="dxa"/>
            <w:vMerge w:val="restart"/>
            <w:vAlign w:val="center"/>
          </w:tcPr>
          <w:p>
            <w:pPr>
              <w:adjustRightInd w:val="0"/>
              <w:snapToGrid w:val="0"/>
              <w:spacing w:line="360" w:lineRule="auto"/>
              <w:ind w:right="0" w:rightChars="0"/>
              <w:jc w:val="center"/>
              <w:rPr>
                <w:rFonts w:ascii="仿宋_GB2312" w:hAnsi="仿宋_GB2312" w:eastAsia="仿宋_GB2312" w:cs="仿宋_GB2312"/>
                <w:b w:val="0"/>
                <w:bCs/>
                <w:sz w:val="24"/>
                <w:szCs w:val="24"/>
              </w:rPr>
            </w:pPr>
            <w:r>
              <w:rPr>
                <w:rFonts w:hint="eastAsia" w:ascii="仿宋_GB2312" w:hAnsi="仿宋_GB2312" w:eastAsia="仿宋_GB2312" w:cs="仿宋_GB2312"/>
                <w:b w:val="0"/>
                <w:bCs/>
                <w:spacing w:val="-5"/>
                <w:sz w:val="24"/>
                <w:szCs w:val="24"/>
                <w:lang w:val="en-US" w:eastAsia="zh-CN"/>
              </w:rPr>
              <w:t>金融</w:t>
            </w:r>
            <w:r>
              <w:rPr>
                <w:rFonts w:hint="eastAsia" w:ascii="仿宋_GB2312" w:hAnsi="仿宋_GB2312" w:eastAsia="仿宋_GB2312" w:cs="仿宋_GB2312"/>
                <w:b w:val="0"/>
                <w:bCs/>
                <w:spacing w:val="-5"/>
                <w:sz w:val="24"/>
                <w:szCs w:val="24"/>
              </w:rPr>
              <w:t>职业素养</w:t>
            </w:r>
          </w:p>
        </w:tc>
        <w:tc>
          <w:tcPr>
            <w:tcW w:w="3821" w:type="dxa"/>
            <w:tcBorders>
              <w:bottom w:val="single" w:color="auto" w:sz="4" w:space="0"/>
            </w:tcBorders>
            <w:vAlign w:val="center"/>
          </w:tcPr>
          <w:p>
            <w:pPr>
              <w:adjustRightInd w:val="0"/>
              <w:snapToGrid w:val="0"/>
              <w:spacing w:before="0" w:line="360" w:lineRule="auto"/>
              <w:ind w:right="0" w:rightChars="0"/>
              <w:jc w:val="center"/>
              <w:rPr>
                <w:rFonts w:hint="eastAsia" w:ascii="仿宋_GB2312" w:hAnsi="仿宋_GB2312" w:eastAsia="仿宋" w:cs="仿宋_GB2312"/>
                <w:b w:val="0"/>
                <w:bCs/>
                <w:sz w:val="24"/>
                <w:szCs w:val="24"/>
                <w:lang w:val="en-US" w:eastAsia="zh-CN"/>
              </w:rPr>
            </w:pPr>
            <w:r>
              <w:rPr>
                <w:rFonts w:hint="eastAsia" w:ascii="仿宋_GB2312" w:hAnsi="仿宋_GB2312" w:eastAsia="仿宋_GB2312" w:cs="仿宋_GB2312"/>
                <w:b w:val="0"/>
                <w:bCs/>
                <w:sz w:val="24"/>
                <w:szCs w:val="24"/>
                <w:lang w:val="en-US" w:eastAsia="zh-CN"/>
              </w:rPr>
              <w:t>业务素养知识（每人100分）</w:t>
            </w:r>
          </w:p>
        </w:tc>
        <w:tc>
          <w:tcPr>
            <w:tcW w:w="1315" w:type="dxa"/>
            <w:vMerge w:val="restart"/>
            <w:vAlign w:val="center"/>
          </w:tcPr>
          <w:p>
            <w:pPr>
              <w:adjustRightInd w:val="0"/>
              <w:snapToGrid w:val="0"/>
              <w:spacing w:before="0" w:line="360" w:lineRule="auto"/>
              <w:ind w:left="0" w:right="0" w:firstLine="135"/>
              <w:jc w:val="center"/>
              <w:rPr>
                <w:rFonts w:hint="eastAsia" w:ascii="仿宋_GB2312" w:hAnsi="仿宋_GB2312" w:eastAsia="仿宋_GB2312" w:cs="仿宋_GB2312"/>
                <w:sz w:val="24"/>
                <w:szCs w:val="24"/>
              </w:rPr>
            </w:pPr>
            <w:r>
              <w:rPr>
                <w:rFonts w:hint="eastAsia" w:ascii="仿宋_GB2312" w:hAnsi="仿宋_GB2312" w:eastAsia="仿宋_GB2312" w:cs="仿宋_GB2312"/>
                <w:b w:val="0"/>
                <w:bCs/>
                <w:spacing w:val="-4"/>
                <w:sz w:val="24"/>
                <w:szCs w:val="24"/>
                <w:lang w:val="en-US" w:eastAsia="zh-CN"/>
              </w:rPr>
              <w:t>135</w:t>
            </w:r>
            <w:r>
              <w:rPr>
                <w:rFonts w:hint="eastAsia" w:ascii="仿宋_GB2312" w:hAnsi="仿宋_GB2312" w:eastAsia="仿宋_GB2312" w:cs="仿宋_GB2312"/>
                <w:b w:val="0"/>
                <w:bCs/>
                <w:spacing w:val="-4"/>
                <w:sz w:val="24"/>
                <w:szCs w:val="24"/>
              </w:rPr>
              <w:t>分钟</w:t>
            </w:r>
            <w:r>
              <w:rPr>
                <w:rFonts w:hint="eastAsia" w:ascii="仿宋_GB2312" w:hAnsi="仿宋_GB2312" w:eastAsia="仿宋_GB2312" w:cs="仿宋_GB2312"/>
                <w:sz w:val="24"/>
                <w:szCs w:val="24"/>
              </w:rPr>
              <w:t>（含单项间</w:t>
            </w:r>
          </w:p>
          <w:p>
            <w:pPr>
              <w:adjustRightInd w:val="0"/>
              <w:snapToGrid w:val="0"/>
              <w:spacing w:line="360" w:lineRule="auto"/>
              <w:ind w:right="0" w:rightChars="0"/>
              <w:jc w:val="center"/>
              <w:rPr>
                <w:rFonts w:ascii="仿宋_GB2312" w:hAnsi="仿宋_GB2312" w:eastAsia="仿宋_GB2312" w:cs="仿宋_GB2312"/>
                <w:b w:val="0"/>
                <w:bCs/>
                <w:sz w:val="24"/>
                <w:szCs w:val="24"/>
              </w:rPr>
            </w:pPr>
            <w:r>
              <w:rPr>
                <w:rFonts w:hint="eastAsia" w:ascii="仿宋_GB2312" w:hAnsi="仿宋_GB2312" w:eastAsia="仿宋_GB2312" w:cs="仿宋_GB2312"/>
                <w:spacing w:val="-8"/>
                <w:sz w:val="24"/>
                <w:szCs w:val="24"/>
              </w:rPr>
              <w:t>隔时间）</w:t>
            </w:r>
          </w:p>
        </w:tc>
        <w:tc>
          <w:tcPr>
            <w:tcW w:w="1315" w:type="dxa"/>
            <w:vMerge w:val="restart"/>
            <w:vAlign w:val="center"/>
          </w:tcPr>
          <w:p>
            <w:pPr>
              <w:adjustRightInd w:val="0"/>
              <w:snapToGrid w:val="0"/>
              <w:spacing w:line="360" w:lineRule="auto"/>
              <w:ind w:right="0" w:rightChars="0"/>
              <w:jc w:val="center"/>
              <w:rPr>
                <w:rFonts w:ascii="仿宋_GB2312" w:hAnsi="仿宋_GB2312" w:eastAsia="仿宋_GB2312" w:cs="仿宋_GB2312"/>
                <w:b w:val="0"/>
                <w:bCs/>
                <w:sz w:val="24"/>
                <w:szCs w:val="24"/>
              </w:rPr>
            </w:pPr>
            <w:r>
              <w:rPr>
                <w:rFonts w:hint="eastAsia" w:ascii="仿宋_GB2312" w:hAnsi="仿宋_GB2312" w:eastAsia="仿宋_GB2312" w:cs="仿宋_GB2312"/>
                <w:b w:val="0"/>
                <w:bCs/>
                <w:sz w:val="24"/>
                <w:szCs w:val="24"/>
                <w:lang w:val="en-US" w:eastAsia="zh-CN"/>
              </w:rPr>
              <w:t>12</w:t>
            </w:r>
            <w:r>
              <w:rPr>
                <w:rFonts w:hint="eastAsia" w:ascii="仿宋_GB2312" w:hAnsi="仿宋_GB2312" w:eastAsia="仿宋_GB2312" w:cs="仿宋_GB2312"/>
                <w:b w:val="0"/>
                <w:bCs/>
                <w:sz w:val="24"/>
                <w:szCs w:val="24"/>
              </w:rPr>
              <w:t>00分</w:t>
            </w:r>
            <w:r>
              <w:rPr>
                <w:rFonts w:hint="eastAsia" w:ascii="仿宋_GB2312" w:hAnsi="仿宋_GB2312" w:eastAsia="仿宋_GB2312" w:cs="仿宋_GB2312"/>
                <w:b w:val="0"/>
                <w:bCs/>
                <w:spacing w:val="-10"/>
                <w:sz w:val="24"/>
                <w:szCs w:val="24"/>
                <w:lang w:eastAsia="zh-CN"/>
              </w:rPr>
              <w:t>（</w:t>
            </w:r>
            <w:r>
              <w:rPr>
                <w:rFonts w:hint="eastAsia" w:ascii="仿宋_GB2312" w:hAnsi="仿宋_GB2312" w:eastAsia="仿宋_GB2312" w:cs="仿宋_GB2312"/>
                <w:sz w:val="24"/>
                <w:szCs w:val="24"/>
              </w:rPr>
              <w:t>占总分</w:t>
            </w:r>
            <w:r>
              <w:rPr>
                <w:rFonts w:hint="eastAsia" w:ascii="仿宋_GB2312" w:hAnsi="仿宋_GB2312" w:eastAsia="仿宋_GB2312" w:cs="仿宋_GB2312"/>
                <w:sz w:val="24"/>
                <w:szCs w:val="24"/>
                <w:lang w:val="en-US" w:eastAsia="zh-CN"/>
              </w:rPr>
              <w:t>40</w:t>
            </w:r>
            <w:r>
              <w:rPr>
                <w:rFonts w:hint="eastAsia" w:ascii="仿宋_GB2312" w:hAnsi="仿宋_GB2312" w:eastAsia="仿宋_GB2312" w:cs="仿宋_GB2312"/>
                <w:sz w:val="24"/>
                <w:szCs w:val="24"/>
              </w:rPr>
              <w:t>%</w:t>
            </w:r>
            <w:r>
              <w:rPr>
                <w:rFonts w:hint="eastAsia" w:ascii="仿宋_GB2312" w:hAnsi="仿宋_GB2312" w:eastAsia="仿宋_GB2312" w:cs="仿宋_GB2312"/>
                <w:b w:val="0"/>
                <w:bCs/>
                <w:spacing w:val="-10"/>
                <w:sz w:val="24"/>
                <w:szCs w:val="24"/>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5"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5"/>
                <w:sz w:val="24"/>
                <w:szCs w:val="24"/>
              </w:rPr>
            </w:pPr>
          </w:p>
        </w:tc>
        <w:tc>
          <w:tcPr>
            <w:tcW w:w="3821" w:type="dxa"/>
            <w:tcBorders>
              <w:top w:val="single" w:color="auto" w:sz="4" w:space="0"/>
              <w:bottom w:val="single" w:color="auto" w:sz="4" w:space="0"/>
            </w:tcBorders>
            <w:vAlign w:val="center"/>
          </w:tcPr>
          <w:p>
            <w:pPr>
              <w:adjustRightInd w:val="0"/>
              <w:snapToGrid w:val="0"/>
              <w:spacing w:before="0" w:line="360" w:lineRule="auto"/>
              <w:ind w:right="0" w:rightChars="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pacing w:val="-1"/>
                <w:sz w:val="24"/>
                <w:szCs w:val="24"/>
              </w:rPr>
              <w:t>传票数字录入</w:t>
            </w:r>
            <w:r>
              <w:rPr>
                <w:rFonts w:hint="eastAsia" w:ascii="仿宋_GB2312" w:hAnsi="仿宋_GB2312" w:eastAsia="仿宋_GB2312" w:cs="仿宋_GB2312"/>
                <w:b w:val="0"/>
                <w:bCs/>
                <w:sz w:val="24"/>
                <w:szCs w:val="24"/>
                <w:lang w:val="en-US" w:eastAsia="zh-CN"/>
              </w:rPr>
              <w:t>（每人50分）</w:t>
            </w:r>
          </w:p>
        </w:tc>
        <w:tc>
          <w:tcPr>
            <w:tcW w:w="1315"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4"/>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7"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5"/>
                <w:sz w:val="24"/>
                <w:szCs w:val="24"/>
              </w:rPr>
            </w:pPr>
          </w:p>
        </w:tc>
        <w:tc>
          <w:tcPr>
            <w:tcW w:w="3821" w:type="dxa"/>
            <w:tcBorders>
              <w:top w:val="single" w:color="auto" w:sz="4" w:space="0"/>
              <w:bottom w:val="single" w:color="auto" w:sz="4" w:space="0"/>
            </w:tcBorders>
            <w:vAlign w:val="center"/>
          </w:tcPr>
          <w:p>
            <w:pPr>
              <w:adjustRightInd w:val="0"/>
              <w:snapToGrid w:val="0"/>
              <w:spacing w:before="0" w:line="360" w:lineRule="auto"/>
              <w:ind w:right="0" w:rightChars="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pacing w:val="-5"/>
                <w:sz w:val="24"/>
                <w:szCs w:val="24"/>
              </w:rPr>
              <w:t>字符录入</w:t>
            </w:r>
            <w:r>
              <w:rPr>
                <w:rFonts w:hint="eastAsia" w:ascii="仿宋_GB2312" w:hAnsi="仿宋_GB2312" w:eastAsia="仿宋_GB2312" w:cs="仿宋_GB2312"/>
                <w:b w:val="0"/>
                <w:bCs/>
                <w:sz w:val="24"/>
                <w:szCs w:val="24"/>
                <w:lang w:val="en-US" w:eastAsia="zh-CN"/>
              </w:rPr>
              <w:t>（每人50分）</w:t>
            </w:r>
          </w:p>
        </w:tc>
        <w:tc>
          <w:tcPr>
            <w:tcW w:w="1315"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4"/>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4"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5"/>
                <w:sz w:val="24"/>
                <w:szCs w:val="24"/>
              </w:rPr>
            </w:pPr>
          </w:p>
        </w:tc>
        <w:tc>
          <w:tcPr>
            <w:tcW w:w="3821" w:type="dxa"/>
            <w:tcBorders>
              <w:top w:val="single" w:color="auto" w:sz="4" w:space="0"/>
              <w:bottom w:val="single" w:color="auto" w:sz="4" w:space="0"/>
            </w:tcBorders>
            <w:vAlign w:val="center"/>
          </w:tcPr>
          <w:p>
            <w:pPr>
              <w:adjustRightInd w:val="0"/>
              <w:snapToGrid w:val="0"/>
              <w:spacing w:before="0" w:line="360" w:lineRule="auto"/>
              <w:ind w:right="0" w:rightChars="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pacing w:val="-5"/>
                <w:sz w:val="24"/>
                <w:szCs w:val="24"/>
              </w:rPr>
              <w:t>手工点钞</w:t>
            </w:r>
            <w:r>
              <w:rPr>
                <w:rFonts w:hint="eastAsia" w:ascii="仿宋_GB2312" w:hAnsi="仿宋_GB2312" w:eastAsia="仿宋_GB2312" w:cs="仿宋_GB2312"/>
                <w:b w:val="0"/>
                <w:bCs/>
                <w:sz w:val="24"/>
                <w:szCs w:val="24"/>
                <w:lang w:val="en-US" w:eastAsia="zh-CN"/>
              </w:rPr>
              <w:t>（每人50分）</w:t>
            </w:r>
          </w:p>
        </w:tc>
        <w:tc>
          <w:tcPr>
            <w:tcW w:w="1315"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4"/>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8"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5"/>
                <w:sz w:val="24"/>
                <w:szCs w:val="24"/>
              </w:rPr>
            </w:pPr>
          </w:p>
        </w:tc>
        <w:tc>
          <w:tcPr>
            <w:tcW w:w="3821" w:type="dxa"/>
            <w:tcBorders>
              <w:top w:val="single" w:color="auto" w:sz="4" w:space="0"/>
            </w:tcBorders>
            <w:vAlign w:val="center"/>
          </w:tcPr>
          <w:p>
            <w:pPr>
              <w:adjustRightInd w:val="0"/>
              <w:snapToGrid w:val="0"/>
              <w:spacing w:before="0" w:line="360" w:lineRule="auto"/>
              <w:ind w:right="0" w:rightChars="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pacing w:val="-4"/>
                <w:sz w:val="24"/>
                <w:szCs w:val="24"/>
              </w:rPr>
              <w:t>货币防伪与鉴别</w:t>
            </w:r>
            <w:r>
              <w:rPr>
                <w:rFonts w:hint="eastAsia" w:ascii="仿宋_GB2312" w:hAnsi="仿宋_GB2312" w:eastAsia="仿宋_GB2312" w:cs="仿宋_GB2312"/>
                <w:b w:val="0"/>
                <w:bCs/>
                <w:sz w:val="24"/>
                <w:szCs w:val="24"/>
                <w:lang w:val="en-US" w:eastAsia="zh-CN"/>
              </w:rPr>
              <w:t>（每人50分）</w:t>
            </w:r>
          </w:p>
        </w:tc>
        <w:tc>
          <w:tcPr>
            <w:tcW w:w="1315"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4"/>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5" w:hRule="atLeast"/>
          <w:jc w:val="center"/>
        </w:trPr>
        <w:tc>
          <w:tcPr>
            <w:tcW w:w="988" w:type="dxa"/>
            <w:vMerge w:val="restart"/>
            <w:vAlign w:val="center"/>
          </w:tcPr>
          <w:p>
            <w:pPr>
              <w:adjustRightInd w:val="0"/>
              <w:snapToGrid w:val="0"/>
              <w:spacing w:line="360" w:lineRule="auto"/>
              <w:ind w:right="0" w:rightChars="0"/>
              <w:jc w:val="center"/>
              <w:rPr>
                <w:rFonts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模块二</w:t>
            </w:r>
          </w:p>
        </w:tc>
        <w:tc>
          <w:tcPr>
            <w:tcW w:w="1729" w:type="dxa"/>
            <w:vMerge w:val="restart"/>
            <w:vAlign w:val="center"/>
          </w:tcPr>
          <w:p>
            <w:pPr>
              <w:adjustRightInd w:val="0"/>
              <w:snapToGrid w:val="0"/>
              <w:spacing w:line="360" w:lineRule="auto"/>
              <w:ind w:right="0" w:rightChars="0"/>
              <w:jc w:val="center"/>
              <w:rPr>
                <w:rFonts w:hint="default"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金融</w:t>
            </w:r>
            <w:r>
              <w:rPr>
                <w:rFonts w:hint="eastAsia" w:ascii="仿宋_GB2312" w:hAnsi="仿宋_GB2312" w:eastAsia="仿宋_GB2312" w:cs="仿宋_GB2312"/>
                <w:b w:val="0"/>
                <w:bCs/>
                <w:sz w:val="24"/>
                <w:szCs w:val="24"/>
                <w:lang w:val="en-US" w:eastAsia="zh-CN"/>
              </w:rPr>
              <w:t>综合技能</w:t>
            </w:r>
          </w:p>
        </w:tc>
        <w:tc>
          <w:tcPr>
            <w:tcW w:w="3821" w:type="dxa"/>
            <w:tcBorders>
              <w:bottom w:val="single" w:color="auto" w:sz="4" w:space="0"/>
            </w:tcBorders>
            <w:vAlign w:val="center"/>
          </w:tcPr>
          <w:p>
            <w:pPr>
              <w:adjustRightInd w:val="0"/>
              <w:snapToGrid w:val="0"/>
              <w:spacing w:line="360" w:lineRule="auto"/>
              <w:ind w:right="0"/>
              <w:jc w:val="center"/>
              <w:rPr>
                <w:rFonts w:hint="eastAsia" w:ascii="仿宋_GB2312" w:hAnsi="仿宋_GB2312" w:eastAsia="仿宋" w:cs="仿宋_GB2312"/>
                <w:b w:val="0"/>
                <w:bCs/>
                <w:sz w:val="24"/>
                <w:szCs w:val="24"/>
                <w:lang w:eastAsia="zh-CN"/>
              </w:rPr>
            </w:pPr>
            <w:r>
              <w:rPr>
                <w:rFonts w:hint="eastAsia" w:ascii="仿宋_GB2312" w:hAnsi="仿宋_GB2312" w:eastAsia="仿宋_GB2312" w:cs="仿宋_GB2312"/>
                <w:b w:val="0"/>
                <w:bCs/>
                <w:spacing w:val="-4"/>
                <w:sz w:val="24"/>
                <w:szCs w:val="24"/>
              </w:rPr>
              <w:t>大堂经理岗</w:t>
            </w:r>
            <w:r>
              <w:rPr>
                <w:rFonts w:hint="eastAsia" w:ascii="仿宋_GB2312" w:hAnsi="仿宋_GB2312" w:eastAsia="仿宋_GB2312" w:cs="仿宋_GB2312"/>
                <w:b w:val="0"/>
                <w:bCs/>
                <w:spacing w:val="-4"/>
                <w:sz w:val="24"/>
                <w:szCs w:val="24"/>
                <w:lang w:eastAsia="zh-CN"/>
              </w:rPr>
              <w:t>（</w:t>
            </w:r>
            <w:r>
              <w:rPr>
                <w:rFonts w:hint="eastAsia" w:ascii="仿宋_GB2312" w:hAnsi="仿宋_GB2312" w:eastAsia="仿宋_GB2312" w:cs="仿宋_GB2312"/>
                <w:spacing w:val="-3"/>
                <w:sz w:val="24"/>
                <w:szCs w:val="24"/>
              </w:rPr>
              <w:t>每个岗位</w:t>
            </w:r>
            <w:r>
              <w:rPr>
                <w:rFonts w:hint="eastAsia" w:ascii="仿宋_GB2312" w:hAnsi="仿宋_GB2312" w:eastAsia="仿宋_GB2312" w:cs="仿宋_GB2312"/>
                <w:spacing w:val="-5"/>
                <w:sz w:val="24"/>
                <w:szCs w:val="24"/>
              </w:rPr>
              <w:t>200分</w:t>
            </w:r>
            <w:r>
              <w:rPr>
                <w:rFonts w:hint="eastAsia" w:ascii="仿宋_GB2312" w:hAnsi="仿宋_GB2312" w:eastAsia="仿宋_GB2312" w:cs="仿宋_GB2312"/>
                <w:spacing w:val="-5"/>
                <w:sz w:val="24"/>
                <w:szCs w:val="24"/>
                <w:lang w:eastAsia="zh-CN"/>
              </w:rPr>
              <w:t>）</w:t>
            </w:r>
          </w:p>
        </w:tc>
        <w:tc>
          <w:tcPr>
            <w:tcW w:w="1315" w:type="dxa"/>
            <w:vMerge w:val="restart"/>
            <w:vAlign w:val="center"/>
          </w:tcPr>
          <w:p>
            <w:pPr>
              <w:adjustRightInd w:val="0"/>
              <w:snapToGrid w:val="0"/>
              <w:spacing w:line="360" w:lineRule="auto"/>
              <w:ind w:right="0" w:rightChars="0"/>
              <w:jc w:val="center"/>
              <w:rPr>
                <w:rFonts w:ascii="仿宋_GB2312" w:hAnsi="仿宋_GB2312" w:eastAsia="仿宋_GB2312" w:cs="仿宋_GB2312"/>
                <w:b w:val="0"/>
                <w:bCs/>
                <w:sz w:val="24"/>
                <w:szCs w:val="24"/>
              </w:rPr>
            </w:pPr>
            <w:r>
              <w:rPr>
                <w:rFonts w:hint="eastAsia" w:ascii="仿宋_GB2312" w:hAnsi="仿宋_GB2312" w:eastAsia="仿宋_GB2312" w:cs="仿宋_GB2312"/>
                <w:b w:val="0"/>
                <w:bCs/>
                <w:sz w:val="24"/>
                <w:szCs w:val="24"/>
              </w:rPr>
              <w:t>1</w:t>
            </w:r>
            <w:r>
              <w:rPr>
                <w:rFonts w:hint="eastAsia" w:ascii="仿宋_GB2312" w:hAnsi="仿宋_GB2312" w:eastAsia="仿宋_GB2312" w:cs="仿宋_GB2312"/>
                <w:b w:val="0"/>
                <w:bCs/>
                <w:sz w:val="24"/>
                <w:szCs w:val="24"/>
                <w:lang w:val="en-US" w:eastAsia="zh-CN"/>
              </w:rPr>
              <w:t>2</w:t>
            </w:r>
            <w:r>
              <w:rPr>
                <w:rFonts w:hint="eastAsia" w:ascii="仿宋_GB2312" w:hAnsi="仿宋_GB2312" w:eastAsia="仿宋_GB2312" w:cs="仿宋_GB2312"/>
                <w:b w:val="0"/>
                <w:bCs/>
                <w:sz w:val="24"/>
                <w:szCs w:val="24"/>
              </w:rPr>
              <w:t>0分钟</w:t>
            </w:r>
          </w:p>
        </w:tc>
        <w:tc>
          <w:tcPr>
            <w:tcW w:w="1315" w:type="dxa"/>
            <w:vMerge w:val="restart"/>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pacing w:val="-10"/>
                <w:sz w:val="24"/>
                <w:szCs w:val="24"/>
              </w:rPr>
              <w:t>800分</w:t>
            </w:r>
            <w:r>
              <w:rPr>
                <w:rFonts w:hint="eastAsia" w:ascii="仿宋_GB2312" w:hAnsi="仿宋_GB2312" w:eastAsia="仿宋_GB2312" w:cs="仿宋_GB2312"/>
                <w:b w:val="0"/>
                <w:bCs/>
                <w:spacing w:val="-10"/>
                <w:sz w:val="24"/>
                <w:szCs w:val="24"/>
                <w:lang w:eastAsia="zh-CN"/>
              </w:rPr>
              <w:t>（</w:t>
            </w:r>
            <w:r>
              <w:rPr>
                <w:rFonts w:hint="eastAsia" w:ascii="仿宋_GB2312" w:hAnsi="仿宋_GB2312" w:eastAsia="仿宋_GB2312" w:cs="仿宋_GB2312"/>
                <w:sz w:val="24"/>
                <w:szCs w:val="24"/>
              </w:rPr>
              <w:t>占总分26.67%</w:t>
            </w:r>
            <w:r>
              <w:rPr>
                <w:rFonts w:hint="eastAsia" w:ascii="仿宋_GB2312" w:hAnsi="仿宋_GB2312" w:eastAsia="仿宋_GB2312" w:cs="仿宋_GB2312"/>
                <w:b w:val="0"/>
                <w:bCs/>
                <w:spacing w:val="-10"/>
                <w:sz w:val="24"/>
                <w:szCs w:val="24"/>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0"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pacing w:val="-4"/>
                <w:sz w:val="24"/>
                <w:szCs w:val="24"/>
                <w:lang w:val="en-US" w:eastAsia="zh-CN"/>
              </w:rPr>
            </w:pPr>
            <w:r>
              <w:rPr>
                <w:rFonts w:hint="eastAsia" w:ascii="仿宋_GB2312" w:hAnsi="仿宋_GB2312" w:eastAsia="仿宋_GB2312" w:cs="仿宋_GB2312"/>
                <w:b w:val="0"/>
                <w:bCs/>
                <w:spacing w:val="-3"/>
                <w:sz w:val="24"/>
                <w:szCs w:val="24"/>
              </w:rPr>
              <w:t>综合柜员</w:t>
            </w:r>
            <w:r>
              <w:rPr>
                <w:rFonts w:hint="eastAsia" w:ascii="仿宋_GB2312" w:hAnsi="仿宋_GB2312" w:eastAsia="仿宋_GB2312" w:cs="仿宋_GB2312"/>
                <w:b w:val="0"/>
                <w:bCs/>
                <w:spacing w:val="-3"/>
                <w:sz w:val="24"/>
                <w:szCs w:val="24"/>
                <w:lang w:val="en-US" w:eastAsia="zh-CN"/>
              </w:rPr>
              <w:t>岗</w:t>
            </w:r>
            <w:r>
              <w:rPr>
                <w:rFonts w:hint="eastAsia" w:ascii="仿宋_GB2312" w:hAnsi="仿宋_GB2312" w:eastAsia="仿宋_GB2312" w:cs="仿宋_GB2312"/>
                <w:b w:val="0"/>
                <w:bCs/>
                <w:spacing w:val="-4"/>
                <w:sz w:val="24"/>
                <w:szCs w:val="24"/>
                <w:lang w:eastAsia="zh-CN"/>
              </w:rPr>
              <w:t>（</w:t>
            </w:r>
            <w:r>
              <w:rPr>
                <w:rFonts w:hint="eastAsia" w:ascii="仿宋_GB2312" w:hAnsi="仿宋_GB2312" w:eastAsia="仿宋_GB2312" w:cs="仿宋_GB2312"/>
                <w:spacing w:val="-3"/>
                <w:sz w:val="24"/>
                <w:szCs w:val="24"/>
              </w:rPr>
              <w:t>每个岗位</w:t>
            </w:r>
            <w:r>
              <w:rPr>
                <w:rFonts w:hint="eastAsia" w:ascii="仿宋_GB2312" w:hAnsi="仿宋_GB2312" w:eastAsia="仿宋_GB2312" w:cs="仿宋_GB2312"/>
                <w:spacing w:val="-5"/>
                <w:sz w:val="24"/>
                <w:szCs w:val="24"/>
              </w:rPr>
              <w:t>200分</w:t>
            </w:r>
            <w:r>
              <w:rPr>
                <w:rFonts w:hint="eastAsia" w:ascii="仿宋_GB2312" w:hAnsi="仿宋_GB2312" w:eastAsia="仿宋_GB2312" w:cs="仿宋_GB2312"/>
                <w:spacing w:val="-5"/>
                <w:sz w:val="24"/>
                <w:szCs w:val="24"/>
                <w:lang w:eastAsia="zh-CN"/>
              </w:rPr>
              <w:t>）</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6"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pacing w:val="-4"/>
                <w:sz w:val="24"/>
                <w:szCs w:val="24"/>
                <w:lang w:val="en-US" w:eastAsia="zh-CN"/>
              </w:rPr>
            </w:pPr>
            <w:r>
              <w:rPr>
                <w:rFonts w:hint="eastAsia" w:ascii="仿宋_GB2312" w:hAnsi="仿宋_GB2312" w:eastAsia="仿宋_GB2312" w:cs="仿宋_GB2312"/>
                <w:b w:val="0"/>
                <w:bCs/>
                <w:spacing w:val="-3"/>
                <w:sz w:val="24"/>
                <w:szCs w:val="24"/>
              </w:rPr>
              <w:t>客户经理岗</w:t>
            </w:r>
            <w:r>
              <w:rPr>
                <w:rFonts w:hint="eastAsia" w:ascii="仿宋_GB2312" w:hAnsi="仿宋_GB2312" w:eastAsia="仿宋_GB2312" w:cs="仿宋_GB2312"/>
                <w:b w:val="0"/>
                <w:bCs/>
                <w:spacing w:val="-4"/>
                <w:sz w:val="24"/>
                <w:szCs w:val="24"/>
                <w:lang w:eastAsia="zh-CN"/>
              </w:rPr>
              <w:t>（</w:t>
            </w:r>
            <w:r>
              <w:rPr>
                <w:rFonts w:hint="eastAsia" w:ascii="仿宋_GB2312" w:hAnsi="仿宋_GB2312" w:eastAsia="仿宋_GB2312" w:cs="仿宋_GB2312"/>
                <w:spacing w:val="-3"/>
                <w:sz w:val="24"/>
                <w:szCs w:val="24"/>
              </w:rPr>
              <w:t>每个岗位</w:t>
            </w:r>
            <w:r>
              <w:rPr>
                <w:rFonts w:hint="eastAsia" w:ascii="仿宋_GB2312" w:hAnsi="仿宋_GB2312" w:eastAsia="仿宋_GB2312" w:cs="仿宋_GB2312"/>
                <w:spacing w:val="-5"/>
                <w:sz w:val="24"/>
                <w:szCs w:val="24"/>
              </w:rPr>
              <w:t>200分</w:t>
            </w:r>
            <w:r>
              <w:rPr>
                <w:rFonts w:hint="eastAsia" w:ascii="仿宋_GB2312" w:hAnsi="仿宋_GB2312" w:eastAsia="仿宋_GB2312" w:cs="仿宋_GB2312"/>
                <w:spacing w:val="-5"/>
                <w:sz w:val="24"/>
                <w:szCs w:val="24"/>
                <w:lang w:eastAsia="zh-CN"/>
              </w:rPr>
              <w:t>）</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9"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pacing w:val="-4"/>
                <w:sz w:val="24"/>
                <w:szCs w:val="24"/>
                <w:lang w:val="en-US" w:eastAsia="zh-CN"/>
              </w:rPr>
            </w:pPr>
            <w:r>
              <w:rPr>
                <w:rFonts w:hint="eastAsia" w:ascii="仿宋_GB2312" w:hAnsi="仿宋_GB2312" w:eastAsia="仿宋_GB2312" w:cs="仿宋_GB2312"/>
                <w:b w:val="0"/>
                <w:bCs/>
                <w:spacing w:val="-3"/>
                <w:sz w:val="24"/>
                <w:szCs w:val="24"/>
              </w:rPr>
              <w:t>理财经理岗</w:t>
            </w:r>
            <w:r>
              <w:rPr>
                <w:rFonts w:hint="eastAsia" w:ascii="仿宋_GB2312" w:hAnsi="仿宋_GB2312" w:eastAsia="仿宋_GB2312" w:cs="仿宋_GB2312"/>
                <w:b w:val="0"/>
                <w:bCs/>
                <w:spacing w:val="-4"/>
                <w:sz w:val="24"/>
                <w:szCs w:val="24"/>
                <w:lang w:eastAsia="zh-CN"/>
              </w:rPr>
              <w:t>（</w:t>
            </w:r>
            <w:r>
              <w:rPr>
                <w:rFonts w:hint="eastAsia" w:ascii="仿宋_GB2312" w:hAnsi="仿宋_GB2312" w:eastAsia="仿宋_GB2312" w:cs="仿宋_GB2312"/>
                <w:spacing w:val="-3"/>
                <w:sz w:val="24"/>
                <w:szCs w:val="24"/>
              </w:rPr>
              <w:t>每个岗位</w:t>
            </w:r>
            <w:r>
              <w:rPr>
                <w:rFonts w:hint="eastAsia" w:ascii="仿宋_GB2312" w:hAnsi="仿宋_GB2312" w:eastAsia="仿宋_GB2312" w:cs="仿宋_GB2312"/>
                <w:spacing w:val="-5"/>
                <w:sz w:val="24"/>
                <w:szCs w:val="24"/>
              </w:rPr>
              <w:t>200分</w:t>
            </w:r>
            <w:r>
              <w:rPr>
                <w:rFonts w:hint="eastAsia" w:ascii="仿宋_GB2312" w:hAnsi="仿宋_GB2312" w:eastAsia="仿宋_GB2312" w:cs="仿宋_GB2312"/>
                <w:spacing w:val="-5"/>
                <w:sz w:val="24"/>
                <w:szCs w:val="24"/>
                <w:lang w:eastAsia="zh-CN"/>
              </w:rPr>
              <w:t>）</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7" w:hRule="atLeast"/>
          <w:jc w:val="center"/>
        </w:trPr>
        <w:tc>
          <w:tcPr>
            <w:tcW w:w="988" w:type="dxa"/>
            <w:vMerge w:val="restart"/>
            <w:vAlign w:val="center"/>
          </w:tcPr>
          <w:p>
            <w:pPr>
              <w:adjustRightInd w:val="0"/>
              <w:snapToGrid w:val="0"/>
              <w:spacing w:line="360" w:lineRule="auto"/>
              <w:ind w:right="0" w:rightChars="0"/>
              <w:jc w:val="center"/>
              <w:rPr>
                <w:rFonts w:hint="default"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模块三</w:t>
            </w:r>
          </w:p>
        </w:tc>
        <w:tc>
          <w:tcPr>
            <w:tcW w:w="1729" w:type="dxa"/>
            <w:vMerge w:val="restart"/>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6"/>
                <w:sz w:val="24"/>
                <w:szCs w:val="24"/>
              </w:rPr>
            </w:pPr>
            <w:r>
              <w:rPr>
                <w:rFonts w:hint="eastAsia" w:ascii="仿宋_GB2312" w:hAnsi="仿宋_GB2312" w:eastAsia="仿宋_GB2312" w:cs="仿宋_GB2312"/>
                <w:b w:val="0"/>
                <w:bCs/>
                <w:spacing w:val="6"/>
                <w:sz w:val="24"/>
                <w:szCs w:val="24"/>
                <w:lang w:val="en-US" w:eastAsia="zh-CN"/>
              </w:rPr>
              <w:t>数字金融业务</w:t>
            </w:r>
          </w:p>
        </w:tc>
        <w:tc>
          <w:tcPr>
            <w:tcW w:w="3821" w:type="dxa"/>
            <w:tcBorders>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pacing w:val="11"/>
                <w:sz w:val="24"/>
                <w:szCs w:val="24"/>
                <w:lang w:val="en-US" w:eastAsia="zh-CN"/>
              </w:rPr>
            </w:pPr>
            <w:r>
              <w:rPr>
                <w:rFonts w:hint="eastAsia" w:ascii="仿宋_GB2312" w:hAnsi="仿宋_GB2312" w:eastAsia="仿宋_GB2312" w:cs="仿宋_GB2312"/>
                <w:b w:val="0"/>
                <w:bCs/>
                <w:sz w:val="24"/>
                <w:szCs w:val="24"/>
              </w:rPr>
              <w:t>大数据金融</w:t>
            </w:r>
            <w:r>
              <w:rPr>
                <w:rFonts w:hint="eastAsia" w:ascii="仿宋_GB2312" w:hAnsi="仿宋_GB2312" w:eastAsia="仿宋_GB2312" w:cs="仿宋_GB2312"/>
                <w:b w:val="0"/>
                <w:bCs/>
                <w:sz w:val="24"/>
                <w:szCs w:val="24"/>
                <w:lang w:val="en-US" w:eastAsia="zh-CN"/>
              </w:rPr>
              <w:t>业务</w:t>
            </w:r>
            <w:r>
              <w:rPr>
                <w:rFonts w:hint="eastAsia" w:ascii="仿宋_GB2312" w:hAnsi="仿宋_GB2312" w:eastAsia="仿宋_GB2312" w:cs="仿宋_GB2312"/>
                <w:b w:val="0"/>
                <w:bCs/>
                <w:color w:val="auto"/>
                <w:sz w:val="24"/>
                <w:szCs w:val="24"/>
                <w:lang w:val="en-US" w:eastAsia="zh-CN"/>
              </w:rPr>
              <w:t>100分</w:t>
            </w:r>
          </w:p>
        </w:tc>
        <w:tc>
          <w:tcPr>
            <w:tcW w:w="1315" w:type="dxa"/>
            <w:vMerge w:val="restart"/>
            <w:vAlign w:val="center"/>
          </w:tcPr>
          <w:p>
            <w:pPr>
              <w:adjustRightInd w:val="0"/>
              <w:snapToGrid w:val="0"/>
              <w:spacing w:line="360" w:lineRule="auto"/>
              <w:ind w:right="0" w:rightChars="0"/>
              <w:jc w:val="center"/>
              <w:rPr>
                <w:rFonts w:hint="default"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val="en-US" w:eastAsia="zh-CN"/>
              </w:rPr>
              <w:t>180分钟</w:t>
            </w:r>
          </w:p>
        </w:tc>
        <w:tc>
          <w:tcPr>
            <w:tcW w:w="1315" w:type="dxa"/>
            <w:vMerge w:val="restart"/>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r>
              <w:rPr>
                <w:rFonts w:hint="eastAsia" w:ascii="仿宋_GB2312" w:hAnsi="仿宋_GB2312" w:eastAsia="仿宋_GB2312" w:cs="仿宋_GB2312"/>
                <w:b w:val="0"/>
                <w:bCs/>
                <w:spacing w:val="-10"/>
                <w:sz w:val="24"/>
                <w:szCs w:val="24"/>
                <w:lang w:val="en-US" w:eastAsia="zh-CN"/>
              </w:rPr>
              <w:t>1000分（</w:t>
            </w:r>
            <w:r>
              <w:rPr>
                <w:rFonts w:hint="eastAsia" w:ascii="仿宋_GB2312" w:hAnsi="仿宋_GB2312" w:eastAsia="仿宋_GB2312" w:cs="仿宋_GB2312"/>
                <w:b w:val="0"/>
                <w:bCs/>
                <w:sz w:val="24"/>
                <w:szCs w:val="24"/>
              </w:rPr>
              <w:t>占总分33.3</w:t>
            </w:r>
            <w:r>
              <w:rPr>
                <w:rFonts w:hint="eastAsia" w:ascii="仿宋_GB2312" w:hAnsi="仿宋_GB2312" w:eastAsia="仿宋_GB2312" w:cs="仿宋_GB2312"/>
                <w:b w:val="0"/>
                <w:bCs/>
                <w:sz w:val="24"/>
                <w:szCs w:val="24"/>
                <w:lang w:val="en-US" w:eastAsia="zh-CN"/>
              </w:rPr>
              <w:t>3</w:t>
            </w:r>
            <w:r>
              <w:rPr>
                <w:rFonts w:hint="eastAsia" w:ascii="仿宋_GB2312" w:hAnsi="仿宋_GB2312" w:eastAsia="仿宋_GB2312" w:cs="仿宋_GB2312"/>
                <w:b w:val="0"/>
                <w:bCs/>
                <w:sz w:val="24"/>
                <w:szCs w:val="24"/>
              </w:rPr>
              <w:t>%</w:t>
            </w:r>
            <w:r>
              <w:rPr>
                <w:rFonts w:hint="eastAsia" w:ascii="仿宋_GB2312" w:hAnsi="仿宋_GB2312" w:eastAsia="仿宋_GB2312" w:cs="仿宋_GB2312"/>
                <w:b w:val="0"/>
                <w:bCs/>
                <w:sz w:val="24"/>
                <w:szCs w:val="24"/>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4"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区块链金融</w:t>
            </w:r>
            <w:r>
              <w:rPr>
                <w:rFonts w:hint="eastAsia" w:ascii="仿宋_GB2312" w:hAnsi="仿宋_GB2312" w:eastAsia="仿宋_GB2312" w:cs="仿宋_GB2312"/>
                <w:b w:val="0"/>
                <w:bCs/>
                <w:sz w:val="24"/>
                <w:szCs w:val="24"/>
                <w:lang w:val="en-US" w:eastAsia="zh-CN"/>
              </w:rPr>
              <w:t>业务</w:t>
            </w:r>
            <w:r>
              <w:rPr>
                <w:rFonts w:hint="eastAsia" w:ascii="仿宋_GB2312" w:hAnsi="仿宋_GB2312" w:eastAsia="仿宋_GB2312" w:cs="仿宋_GB2312"/>
                <w:b w:val="0"/>
                <w:bCs/>
                <w:color w:val="auto"/>
                <w:sz w:val="24"/>
                <w:szCs w:val="24"/>
                <w:lang w:val="en-US" w:eastAsia="zh-CN"/>
              </w:rPr>
              <w:t>150分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4"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支付业务数字化</w:t>
            </w:r>
            <w:r>
              <w:rPr>
                <w:rFonts w:hint="eastAsia" w:ascii="仿宋_GB2312" w:hAnsi="仿宋_GB2312" w:eastAsia="仿宋_GB2312" w:cs="仿宋_GB2312"/>
                <w:b w:val="0"/>
                <w:bCs/>
                <w:color w:val="auto"/>
                <w:sz w:val="24"/>
                <w:szCs w:val="24"/>
                <w:lang w:val="en-US" w:eastAsia="zh-CN"/>
              </w:rPr>
              <w:t>150分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6"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银行业务数字化</w:t>
            </w:r>
            <w:r>
              <w:rPr>
                <w:rFonts w:hint="eastAsia" w:ascii="仿宋_GB2312" w:hAnsi="仿宋_GB2312" w:eastAsia="仿宋_GB2312" w:cs="仿宋_GB2312"/>
                <w:b w:val="0"/>
                <w:bCs/>
                <w:color w:val="auto"/>
                <w:sz w:val="24"/>
                <w:szCs w:val="24"/>
                <w:lang w:val="en-US" w:eastAsia="zh-CN"/>
              </w:rPr>
              <w:t>150分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证券业务数字化</w:t>
            </w:r>
            <w:r>
              <w:rPr>
                <w:rFonts w:hint="eastAsia" w:ascii="仿宋_GB2312" w:hAnsi="仿宋_GB2312" w:eastAsia="仿宋_GB2312" w:cs="仿宋_GB2312"/>
                <w:b w:val="0"/>
                <w:bCs/>
                <w:color w:val="auto"/>
                <w:sz w:val="24"/>
                <w:szCs w:val="24"/>
                <w:lang w:val="en-US" w:eastAsia="zh-CN"/>
              </w:rPr>
              <w:t>200分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lang w:eastAsia="zh-CN"/>
              </w:rPr>
              <w:t>保险业业务数字化</w:t>
            </w:r>
            <w:r>
              <w:rPr>
                <w:rFonts w:hint="eastAsia" w:ascii="仿宋_GB2312" w:hAnsi="仿宋_GB2312" w:eastAsia="仿宋_GB2312" w:cs="仿宋_GB2312"/>
                <w:b w:val="0"/>
                <w:bCs/>
                <w:color w:val="auto"/>
                <w:sz w:val="24"/>
                <w:szCs w:val="24"/>
                <w:lang w:val="en-US" w:eastAsia="zh-CN"/>
              </w:rPr>
              <w:t>150分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4"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bottom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金融科技业务创新</w:t>
            </w:r>
            <w:r>
              <w:rPr>
                <w:rFonts w:hint="eastAsia" w:ascii="仿宋_GB2312" w:hAnsi="仿宋_GB2312" w:eastAsia="仿宋_GB2312" w:cs="仿宋_GB2312"/>
                <w:b w:val="0"/>
                <w:bCs/>
                <w:color w:val="auto"/>
                <w:sz w:val="24"/>
                <w:szCs w:val="24"/>
                <w:lang w:val="en-US" w:eastAsia="zh-CN"/>
              </w:rPr>
              <w:t>50分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jc w:val="center"/>
        </w:trPr>
        <w:tc>
          <w:tcPr>
            <w:tcW w:w="988"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729" w:type="dxa"/>
            <w:vMerge w:val="continue"/>
            <w:vAlign w:val="center"/>
          </w:tcPr>
          <w:p>
            <w:pPr>
              <w:adjustRightInd w:val="0"/>
              <w:snapToGrid w:val="0"/>
              <w:spacing w:line="360" w:lineRule="auto"/>
              <w:ind w:right="0" w:rightChars="0"/>
              <w:jc w:val="both"/>
              <w:rPr>
                <w:rFonts w:hint="eastAsia" w:ascii="仿宋_GB2312" w:hAnsi="仿宋_GB2312" w:eastAsia="仿宋_GB2312" w:cs="仿宋_GB2312"/>
                <w:b w:val="0"/>
                <w:bCs/>
                <w:spacing w:val="6"/>
                <w:sz w:val="24"/>
                <w:szCs w:val="24"/>
              </w:rPr>
            </w:pPr>
          </w:p>
        </w:tc>
        <w:tc>
          <w:tcPr>
            <w:tcW w:w="3821" w:type="dxa"/>
            <w:tcBorders>
              <w:top w:val="single" w:color="auto" w:sz="4" w:space="0"/>
            </w:tcBorders>
            <w:vAlign w:val="center"/>
          </w:tcPr>
          <w:p>
            <w:pPr>
              <w:adjustRightInd w:val="0"/>
              <w:snapToGrid w:val="0"/>
              <w:spacing w:line="360" w:lineRule="auto"/>
              <w:ind w:right="0"/>
              <w:jc w:val="center"/>
              <w:rPr>
                <w:rFonts w:hint="eastAsia" w:ascii="仿宋_GB2312" w:hAnsi="仿宋_GB2312" w:eastAsia="仿宋_GB2312" w:cs="仿宋_GB2312"/>
                <w:b w:val="0"/>
                <w:bCs/>
                <w:sz w:val="24"/>
                <w:szCs w:val="24"/>
                <w:lang w:val="en-US" w:eastAsia="zh-CN"/>
              </w:rPr>
            </w:pPr>
            <w:r>
              <w:rPr>
                <w:rFonts w:hint="eastAsia" w:ascii="仿宋_GB2312" w:hAnsi="仿宋_GB2312" w:eastAsia="仿宋_GB2312" w:cs="仿宋_GB2312"/>
                <w:b w:val="0"/>
                <w:bCs/>
                <w:sz w:val="24"/>
                <w:szCs w:val="24"/>
              </w:rPr>
              <w:t>数字金融业务监管</w:t>
            </w:r>
            <w:r>
              <w:rPr>
                <w:rFonts w:hint="eastAsia" w:ascii="仿宋_GB2312" w:hAnsi="仿宋_GB2312" w:eastAsia="仿宋_GB2312" w:cs="仿宋_GB2312"/>
                <w:b w:val="0"/>
                <w:bCs/>
                <w:color w:val="auto"/>
                <w:sz w:val="24"/>
                <w:szCs w:val="24"/>
                <w:lang w:val="en-US" w:eastAsia="zh-CN"/>
              </w:rPr>
              <w:t>50分</w:t>
            </w: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z w:val="24"/>
                <w:szCs w:val="24"/>
                <w:lang w:val="en-US" w:eastAsia="zh-CN"/>
              </w:rPr>
            </w:pPr>
          </w:p>
        </w:tc>
        <w:tc>
          <w:tcPr>
            <w:tcW w:w="1315" w:type="dxa"/>
            <w:vMerge w:val="continue"/>
            <w:vAlign w:val="center"/>
          </w:tcPr>
          <w:p>
            <w:pPr>
              <w:adjustRightInd w:val="0"/>
              <w:snapToGrid w:val="0"/>
              <w:spacing w:line="360" w:lineRule="auto"/>
              <w:ind w:right="0" w:rightChars="0"/>
              <w:jc w:val="center"/>
              <w:rPr>
                <w:rFonts w:hint="eastAsia" w:ascii="仿宋_GB2312" w:hAnsi="仿宋_GB2312" w:eastAsia="仿宋_GB2312" w:cs="仿宋_GB2312"/>
                <w:b w:val="0"/>
                <w:bCs/>
                <w:spacing w:val="-10"/>
                <w:sz w:val="24"/>
                <w:szCs w:val="24"/>
                <w:lang w:val="en-US" w:eastAsia="zh-CN"/>
              </w:rPr>
            </w:pPr>
          </w:p>
        </w:tc>
      </w:tr>
    </w:tbl>
    <w:p>
      <w:pPr>
        <w:adjustRightInd w:val="0"/>
        <w:snapToGrid w:val="0"/>
        <w:spacing w:line="360" w:lineRule="auto"/>
        <w:ind w:firstLine="420" w:firstLineChars="200"/>
      </w:pPr>
      <w:r>
        <w:br w:type="page"/>
      </w:r>
    </w:p>
    <w:p>
      <w:pPr>
        <w:numPr>
          <w:ilvl w:val="0"/>
          <w:numId w:val="3"/>
        </w:numPr>
        <w:ind w:left="0" w:leftChars="0" w:firstLine="640" w:firstLineChars="200"/>
        <w:outlineLvl w:val="0"/>
        <w:rPr>
          <w:rFonts w:ascii="黑体" w:hAnsi="黑体" w:eastAsia="黑体"/>
          <w:sz w:val="32"/>
          <w:szCs w:val="32"/>
        </w:rPr>
      </w:pPr>
      <w:r>
        <w:rPr>
          <w:rFonts w:ascii="黑体" w:hAnsi="黑体" w:eastAsia="黑体"/>
          <w:sz w:val="32"/>
          <w:szCs w:val="32"/>
        </w:rPr>
        <w:t>竞赛方式</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本赛项为</w:t>
      </w:r>
      <w:r>
        <w:rPr>
          <w:rFonts w:hint="eastAsia" w:ascii="仿宋_GB2312" w:hAnsi="仿宋_GB2312" w:eastAsia="仿宋_GB2312" w:cs="仿宋_GB2312"/>
          <w:sz w:val="28"/>
          <w:szCs w:val="28"/>
          <w:lang w:val="en-US" w:eastAsia="zh-CN"/>
        </w:rPr>
        <w:t>线下</w:t>
      </w:r>
      <w:r>
        <w:rPr>
          <w:rFonts w:hint="eastAsia" w:ascii="仿宋_GB2312" w:hAnsi="仿宋_GB2312" w:eastAsia="仿宋_GB2312" w:cs="仿宋_GB2312"/>
          <w:sz w:val="28"/>
          <w:szCs w:val="28"/>
        </w:rPr>
        <w:t>团体赛，每队4名选手，需为同校在籍学生，性别和年级不限，</w:t>
      </w:r>
      <w:r>
        <w:rPr>
          <w:rFonts w:hint="eastAsia" w:ascii="仿宋_GB2312" w:hAnsi="仿宋_GB2312" w:eastAsia="仿宋_GB2312" w:cs="仿宋_GB2312"/>
          <w:sz w:val="28"/>
          <w:szCs w:val="28"/>
          <w:highlight w:val="none"/>
        </w:rPr>
        <w:t>每队不超过</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名指导教师</w:t>
      </w:r>
      <w:r>
        <w:rPr>
          <w:rFonts w:hint="eastAsia" w:ascii="仿宋_GB2312" w:hAnsi="仿宋_GB2312" w:eastAsia="仿宋_GB2312" w:cs="仿宋_GB2312"/>
          <w:sz w:val="28"/>
          <w:szCs w:val="28"/>
        </w:rPr>
        <w:t>。</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金融职业素养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模块</w:t>
      </w:r>
      <w:r>
        <w:rPr>
          <w:rFonts w:hint="eastAsia" w:ascii="仿宋_GB2312" w:hAnsi="仿宋_GB2312" w:eastAsia="仿宋_GB2312" w:cs="仿宋_GB2312"/>
          <w:sz w:val="28"/>
          <w:szCs w:val="28"/>
        </w:rPr>
        <w:t>由每支参赛队4名选手独立完成。</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金融</w:t>
      </w:r>
      <w:r>
        <w:rPr>
          <w:rFonts w:hint="eastAsia" w:ascii="仿宋_GB2312" w:hAnsi="仿宋_GB2312" w:eastAsia="仿宋_GB2312" w:cs="仿宋_GB2312"/>
          <w:sz w:val="28"/>
          <w:szCs w:val="28"/>
          <w:lang w:val="en-US" w:eastAsia="zh-CN"/>
        </w:rPr>
        <w:t>综合技能”模块</w:t>
      </w:r>
      <w:r>
        <w:rPr>
          <w:rFonts w:hint="eastAsia" w:ascii="仿宋_GB2312" w:hAnsi="仿宋_GB2312" w:eastAsia="仿宋_GB2312" w:cs="仿宋_GB2312"/>
          <w:sz w:val="28"/>
          <w:szCs w:val="28"/>
        </w:rPr>
        <w:t>由每支参赛队4名选手分别担任大堂经理、综合柜员、客户经理、理财经理</w:t>
      </w:r>
      <w:r>
        <w:rPr>
          <w:rFonts w:hint="eastAsia" w:ascii="仿宋_GB2312" w:hAnsi="仿宋_GB2312" w:eastAsia="仿宋_GB2312" w:cs="仿宋_GB2312"/>
          <w:sz w:val="28"/>
          <w:szCs w:val="28"/>
          <w:lang w:val="en-US" w:eastAsia="zh-CN"/>
        </w:rPr>
        <w:t>岗位</w:t>
      </w:r>
      <w:r>
        <w:rPr>
          <w:rFonts w:hint="eastAsia" w:ascii="仿宋_GB2312" w:hAnsi="仿宋_GB2312" w:eastAsia="仿宋_GB2312" w:cs="仿宋_GB2312"/>
          <w:sz w:val="28"/>
          <w:szCs w:val="28"/>
        </w:rPr>
        <w:t>完成竞赛任务，4名选手岗位赛前抽签确定。“</w:t>
      </w:r>
      <w:r>
        <w:rPr>
          <w:rFonts w:hint="eastAsia" w:ascii="仿宋_GB2312" w:hAnsi="仿宋_GB2312" w:eastAsia="仿宋_GB2312" w:cs="仿宋_GB2312"/>
          <w:sz w:val="28"/>
          <w:szCs w:val="28"/>
          <w:lang w:val="en-US" w:eastAsia="zh-CN"/>
        </w:rPr>
        <w:t>数字金融业务</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模块</w:t>
      </w:r>
      <w:r>
        <w:rPr>
          <w:rFonts w:hint="eastAsia" w:ascii="仿宋_GB2312" w:hAnsi="仿宋_GB2312" w:eastAsia="仿宋_GB2312" w:cs="仿宋_GB2312"/>
          <w:sz w:val="28"/>
          <w:szCs w:val="28"/>
        </w:rPr>
        <w:t>由每支参赛队4名参赛选手团队协作方式完成。</w:t>
      </w:r>
    </w:p>
    <w:p>
      <w:pPr>
        <w:numPr>
          <w:ilvl w:val="0"/>
          <w:numId w:val="3"/>
        </w:numPr>
        <w:spacing w:before="156" w:beforeLines="50" w:after="156" w:afterLines="50"/>
        <w:ind w:left="0" w:leftChars="0" w:firstLine="640" w:firstLineChars="200"/>
        <w:outlineLvl w:val="0"/>
        <w:rPr>
          <w:rFonts w:hint="eastAsia" w:ascii="黑体" w:eastAsia="黑体"/>
          <w:sz w:val="32"/>
          <w:szCs w:val="32"/>
        </w:rPr>
      </w:pPr>
      <w:r>
        <w:rPr>
          <w:rFonts w:hint="eastAsia" w:ascii="黑体" w:eastAsia="黑体"/>
          <w:sz w:val="32"/>
          <w:szCs w:val="32"/>
        </w:rPr>
        <w:t>竞赛流程</w:t>
      </w:r>
    </w:p>
    <w:tbl>
      <w:tblPr>
        <w:tblStyle w:val="26"/>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1992"/>
        <w:gridCol w:w="55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131" w:type="dxa"/>
            <w:gridSpan w:val="2"/>
            <w:vAlign w:val="top"/>
          </w:tcPr>
          <w:p>
            <w:pPr>
              <w:spacing w:before="120" w:line="184" w:lineRule="auto"/>
              <w:ind w:firstLine="1320"/>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14:textOutline w14:w="5103" w14:cap="sq" w14:cmpd="sng">
                  <w14:solidFill>
                    <w14:srgbClr w14:val="000000"/>
                  </w14:solidFill>
                  <w14:prstDash w14:val="solid"/>
                  <w14:bevel/>
                </w14:textOutline>
              </w:rPr>
              <w:t>时间</w:t>
            </w:r>
          </w:p>
        </w:tc>
        <w:tc>
          <w:tcPr>
            <w:tcW w:w="5594" w:type="dxa"/>
            <w:vAlign w:val="top"/>
          </w:tcPr>
          <w:p>
            <w:pPr>
              <w:spacing w:before="120" w:line="184" w:lineRule="auto"/>
              <w:ind w:firstLine="2247"/>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14:textOutline w14:w="5103" w14:cap="sq" w14:cmpd="sng">
                  <w14:solidFill>
                    <w14:srgbClr w14:val="000000"/>
                  </w14:solidFill>
                  <w14:prstDash w14:val="solid"/>
                  <w14:bevel/>
                </w14:textOutline>
              </w:rPr>
              <w:t>工作内容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139" w:type="dxa"/>
            <w:vMerge w:val="restart"/>
            <w:tcBorders>
              <w:bottom w:val="nil"/>
            </w:tcBorders>
            <w:vAlign w:val="top"/>
          </w:tcPr>
          <w:p>
            <w:pPr>
              <w:spacing w:line="264" w:lineRule="auto"/>
              <w:rPr>
                <w:rFonts w:hint="eastAsia" w:ascii="仿宋_GB2312" w:hAnsi="仿宋_GB2312" w:eastAsia="仿宋_GB2312" w:cs="仿宋_GB2312"/>
                <w:sz w:val="24"/>
                <w:szCs w:val="24"/>
              </w:rPr>
            </w:pPr>
          </w:p>
          <w:p>
            <w:pPr>
              <w:spacing w:line="264" w:lineRule="auto"/>
              <w:rPr>
                <w:rFonts w:hint="eastAsia" w:ascii="仿宋_GB2312" w:hAnsi="仿宋_GB2312" w:eastAsia="仿宋_GB2312" w:cs="仿宋_GB2312"/>
                <w:sz w:val="24"/>
                <w:szCs w:val="24"/>
              </w:rPr>
            </w:pPr>
          </w:p>
          <w:p>
            <w:pPr>
              <w:spacing w:line="265" w:lineRule="auto"/>
              <w:rPr>
                <w:rFonts w:hint="eastAsia" w:ascii="仿宋_GB2312" w:hAnsi="仿宋_GB2312" w:eastAsia="仿宋_GB2312" w:cs="仿宋_GB2312"/>
                <w:sz w:val="24"/>
                <w:szCs w:val="24"/>
              </w:rPr>
            </w:pPr>
          </w:p>
          <w:p>
            <w:pPr>
              <w:spacing w:line="265" w:lineRule="auto"/>
              <w:rPr>
                <w:rFonts w:hint="eastAsia" w:ascii="仿宋_GB2312" w:hAnsi="仿宋_GB2312" w:eastAsia="仿宋_GB2312" w:cs="仿宋_GB2312"/>
                <w:sz w:val="24"/>
                <w:szCs w:val="24"/>
              </w:rPr>
            </w:pPr>
          </w:p>
          <w:p>
            <w:pPr>
              <w:spacing w:before="91" w:line="184" w:lineRule="auto"/>
              <w:ind w:firstLine="171"/>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第一天</w:t>
            </w:r>
          </w:p>
        </w:tc>
        <w:tc>
          <w:tcPr>
            <w:tcW w:w="1992" w:type="dxa"/>
            <w:vAlign w:val="top"/>
          </w:tcPr>
          <w:p>
            <w:pPr>
              <w:spacing w:before="116" w:line="184" w:lineRule="auto"/>
              <w:ind w:firstLine="314"/>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8:30-14:30</w:t>
            </w:r>
          </w:p>
        </w:tc>
        <w:tc>
          <w:tcPr>
            <w:tcW w:w="5594" w:type="dxa"/>
            <w:vAlign w:val="top"/>
          </w:tcPr>
          <w:p>
            <w:pPr>
              <w:spacing w:before="116" w:line="184" w:lineRule="auto"/>
              <w:ind w:firstLine="2246"/>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选手报到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18"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14:30-15:30</w:t>
            </w:r>
          </w:p>
        </w:tc>
        <w:tc>
          <w:tcPr>
            <w:tcW w:w="5594" w:type="dxa"/>
            <w:vAlign w:val="top"/>
          </w:tcPr>
          <w:p>
            <w:pPr>
              <w:spacing w:before="118" w:line="184" w:lineRule="auto"/>
              <w:ind w:firstLine="974"/>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领队及指导老师参加赛务会议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18"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14:30-15:30</w:t>
            </w:r>
          </w:p>
        </w:tc>
        <w:tc>
          <w:tcPr>
            <w:tcW w:w="5594" w:type="dxa"/>
            <w:vAlign w:val="top"/>
          </w:tcPr>
          <w:p>
            <w:pPr>
              <w:spacing w:before="118" w:line="184" w:lineRule="auto"/>
              <w:ind w:firstLine="285"/>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3"/>
                <w:sz w:val="24"/>
                <w:szCs w:val="24"/>
              </w:rPr>
              <w:t>选手“</w:t>
            </w:r>
            <w:r>
              <w:rPr>
                <w:rFonts w:hint="eastAsia" w:ascii="仿宋_GB2312" w:hAnsi="仿宋_GB2312" w:eastAsia="仿宋_GB2312" w:cs="仿宋_GB2312"/>
                <w:spacing w:val="-3"/>
                <w:sz w:val="24"/>
                <w:szCs w:val="24"/>
                <w:lang w:val="en-US" w:eastAsia="zh-CN"/>
              </w:rPr>
              <w:t>金融综合技能</w:t>
            </w:r>
            <w:r>
              <w:rPr>
                <w:rFonts w:hint="eastAsia" w:ascii="仿宋_GB2312" w:hAnsi="仿宋_GB2312" w:eastAsia="仿宋_GB2312" w:cs="仿宋_GB2312"/>
                <w:spacing w:val="-3"/>
                <w:sz w:val="24"/>
                <w:szCs w:val="24"/>
              </w:rPr>
              <w:t>”</w:t>
            </w:r>
            <w:r>
              <w:rPr>
                <w:rFonts w:hint="eastAsia" w:ascii="仿宋_GB2312" w:hAnsi="仿宋_GB2312" w:eastAsia="仿宋_GB2312" w:cs="仿宋_GB2312"/>
                <w:spacing w:val="-3"/>
                <w:sz w:val="24"/>
                <w:szCs w:val="24"/>
                <w:lang w:val="en-US" w:eastAsia="zh-CN"/>
              </w:rPr>
              <w:t>模块</w:t>
            </w:r>
            <w:r>
              <w:rPr>
                <w:rFonts w:hint="eastAsia" w:ascii="仿宋_GB2312" w:hAnsi="仿宋_GB2312" w:eastAsia="仿宋_GB2312" w:cs="仿宋_GB2312"/>
                <w:spacing w:val="-3"/>
                <w:sz w:val="24"/>
                <w:szCs w:val="24"/>
              </w:rPr>
              <w:t>岗位</w:t>
            </w:r>
            <w:r>
              <w:rPr>
                <w:rFonts w:hint="eastAsia" w:ascii="仿宋_GB2312" w:hAnsi="仿宋_GB2312" w:eastAsia="仿宋_GB2312" w:cs="仿宋_GB2312"/>
                <w:spacing w:val="-3"/>
                <w:sz w:val="24"/>
                <w:szCs w:val="24"/>
                <w:lang w:val="en-US" w:eastAsia="zh-CN"/>
              </w:rPr>
              <w:t>抽签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19"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15:30-17:00</w:t>
            </w:r>
          </w:p>
        </w:tc>
        <w:tc>
          <w:tcPr>
            <w:tcW w:w="5594" w:type="dxa"/>
            <w:vAlign w:val="top"/>
          </w:tcPr>
          <w:p>
            <w:pPr>
              <w:spacing w:before="119" w:line="184" w:lineRule="auto"/>
              <w:ind w:firstLine="1545"/>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选手熟悉场地、设备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tcBorders>
            <w:vAlign w:val="top"/>
          </w:tcPr>
          <w:p>
            <w:pPr>
              <w:rPr>
                <w:rFonts w:hint="eastAsia" w:ascii="仿宋_GB2312" w:hAnsi="仿宋_GB2312" w:eastAsia="仿宋_GB2312" w:cs="仿宋_GB2312"/>
                <w:sz w:val="24"/>
                <w:szCs w:val="24"/>
              </w:rPr>
            </w:pPr>
          </w:p>
        </w:tc>
        <w:tc>
          <w:tcPr>
            <w:tcW w:w="1992" w:type="dxa"/>
            <w:vAlign w:val="top"/>
          </w:tcPr>
          <w:p>
            <w:pPr>
              <w:spacing w:before="121" w:line="184" w:lineRule="auto"/>
              <w:ind w:firstLine="669"/>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17:30</w:t>
            </w:r>
          </w:p>
        </w:tc>
        <w:tc>
          <w:tcPr>
            <w:tcW w:w="5594" w:type="dxa"/>
            <w:vAlign w:val="top"/>
          </w:tcPr>
          <w:p>
            <w:pPr>
              <w:spacing w:before="121" w:line="184" w:lineRule="auto"/>
              <w:ind w:firstLine="1972"/>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竞赛现场封闭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restart"/>
            <w:tcBorders>
              <w:bottom w:val="nil"/>
            </w:tcBorders>
            <w:vAlign w:val="top"/>
          </w:tcPr>
          <w:p>
            <w:pPr>
              <w:spacing w:line="264" w:lineRule="auto"/>
              <w:rPr>
                <w:rFonts w:hint="eastAsia" w:ascii="仿宋_GB2312" w:hAnsi="仿宋_GB2312" w:eastAsia="仿宋_GB2312" w:cs="仿宋_GB2312"/>
                <w:sz w:val="24"/>
                <w:szCs w:val="24"/>
              </w:rPr>
            </w:pPr>
          </w:p>
          <w:p>
            <w:pPr>
              <w:spacing w:line="264" w:lineRule="auto"/>
              <w:rPr>
                <w:rFonts w:hint="eastAsia" w:ascii="仿宋_GB2312" w:hAnsi="仿宋_GB2312" w:eastAsia="仿宋_GB2312" w:cs="仿宋_GB2312"/>
                <w:sz w:val="24"/>
                <w:szCs w:val="24"/>
              </w:rPr>
            </w:pPr>
          </w:p>
          <w:p>
            <w:pPr>
              <w:spacing w:line="264" w:lineRule="auto"/>
              <w:rPr>
                <w:rFonts w:hint="eastAsia" w:ascii="仿宋_GB2312" w:hAnsi="仿宋_GB2312" w:eastAsia="仿宋_GB2312" w:cs="仿宋_GB2312"/>
                <w:sz w:val="24"/>
                <w:szCs w:val="24"/>
              </w:rPr>
            </w:pPr>
          </w:p>
          <w:p>
            <w:pPr>
              <w:spacing w:line="264" w:lineRule="auto"/>
              <w:rPr>
                <w:rFonts w:hint="eastAsia" w:ascii="仿宋_GB2312" w:hAnsi="仿宋_GB2312" w:eastAsia="仿宋_GB2312" w:cs="仿宋_GB2312"/>
                <w:sz w:val="24"/>
                <w:szCs w:val="24"/>
              </w:rPr>
            </w:pPr>
          </w:p>
          <w:p>
            <w:pPr>
              <w:spacing w:line="265" w:lineRule="auto"/>
              <w:rPr>
                <w:rFonts w:hint="eastAsia" w:ascii="仿宋_GB2312" w:hAnsi="仿宋_GB2312" w:eastAsia="仿宋_GB2312" w:cs="仿宋_GB2312"/>
                <w:sz w:val="24"/>
                <w:szCs w:val="24"/>
              </w:rPr>
            </w:pPr>
          </w:p>
          <w:p>
            <w:pPr>
              <w:spacing w:before="91" w:line="184" w:lineRule="auto"/>
              <w:ind w:firstLine="171"/>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第二天</w:t>
            </w:r>
          </w:p>
        </w:tc>
        <w:tc>
          <w:tcPr>
            <w:tcW w:w="1992" w:type="dxa"/>
            <w:vAlign w:val="top"/>
          </w:tcPr>
          <w:p>
            <w:pPr>
              <w:spacing w:before="120" w:line="184" w:lineRule="auto"/>
              <w:ind w:firstLine="386"/>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8:30-9:30</w:t>
            </w:r>
          </w:p>
        </w:tc>
        <w:tc>
          <w:tcPr>
            <w:tcW w:w="5594" w:type="dxa"/>
            <w:vAlign w:val="top"/>
          </w:tcPr>
          <w:p>
            <w:pPr>
              <w:spacing w:before="120" w:line="184" w:lineRule="auto"/>
              <w:ind w:firstLine="152"/>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开幕式、抽签和二次加密、分岗位检录进场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0" w:line="184" w:lineRule="auto"/>
              <w:ind w:firstLine="314"/>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9:45-11:45</w:t>
            </w:r>
          </w:p>
        </w:tc>
        <w:tc>
          <w:tcPr>
            <w:tcW w:w="5594" w:type="dxa"/>
            <w:vAlign w:val="top"/>
          </w:tcPr>
          <w:p>
            <w:pPr>
              <w:spacing w:before="120" w:line="184"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w:t>
            </w:r>
            <w:r>
              <w:rPr>
                <w:rFonts w:hint="eastAsia" w:ascii="仿宋_GB2312" w:hAnsi="仿宋_GB2312" w:eastAsia="仿宋_GB2312" w:cs="仿宋_GB2312"/>
                <w:spacing w:val="-2"/>
                <w:sz w:val="24"/>
                <w:szCs w:val="24"/>
                <w:lang w:val="en-US" w:eastAsia="zh-CN"/>
              </w:rPr>
              <w:t>金融综合技能</w:t>
            </w:r>
            <w:r>
              <w:rPr>
                <w:rFonts w:hint="eastAsia" w:ascii="仿宋_GB2312" w:hAnsi="仿宋_GB2312" w:eastAsia="仿宋_GB2312" w:cs="仿宋_GB2312"/>
                <w:spacing w:val="-2"/>
                <w:sz w:val="24"/>
                <w:szCs w:val="24"/>
              </w:rPr>
              <w:t>”</w:t>
            </w:r>
            <w:r>
              <w:rPr>
                <w:rFonts w:hint="eastAsia" w:ascii="仿宋_GB2312" w:hAnsi="仿宋_GB2312" w:eastAsia="仿宋_GB2312" w:cs="仿宋_GB2312"/>
                <w:spacing w:val="-2"/>
                <w:sz w:val="24"/>
                <w:szCs w:val="24"/>
                <w:lang w:val="en-US" w:eastAsia="zh-CN"/>
              </w:rPr>
              <w:t>模块</w:t>
            </w:r>
            <w:r>
              <w:rPr>
                <w:rFonts w:hint="eastAsia" w:ascii="仿宋_GB2312" w:hAnsi="仿宋_GB2312" w:eastAsia="仿宋_GB2312" w:cs="仿宋_GB2312"/>
                <w:spacing w:val="-2"/>
                <w:sz w:val="24"/>
                <w:szCs w:val="24"/>
              </w:rPr>
              <w:t>竞赛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1"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12:00-13:30</w:t>
            </w:r>
          </w:p>
        </w:tc>
        <w:tc>
          <w:tcPr>
            <w:tcW w:w="5594" w:type="dxa"/>
            <w:vAlign w:val="top"/>
          </w:tcPr>
          <w:p>
            <w:pPr>
              <w:spacing w:before="121" w:line="184" w:lineRule="auto"/>
              <w:ind w:firstLine="2189"/>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午餐+午休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0"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13:30-14:00</w:t>
            </w:r>
          </w:p>
        </w:tc>
        <w:tc>
          <w:tcPr>
            <w:tcW w:w="5594" w:type="dxa"/>
            <w:vAlign w:val="top"/>
          </w:tcPr>
          <w:p>
            <w:pPr>
              <w:spacing w:before="120" w:line="184" w:lineRule="auto"/>
              <w:ind w:firstLine="1122"/>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抽签和二次加密、检录进场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0" w:line="184" w:lineRule="auto"/>
              <w:ind w:firstLine="249"/>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pacing w:val="-3"/>
                <w:sz w:val="24"/>
                <w:szCs w:val="24"/>
              </w:rPr>
              <w:t>14:00-1</w:t>
            </w:r>
            <w:r>
              <w:rPr>
                <w:rFonts w:hint="eastAsia" w:ascii="仿宋_GB2312" w:hAnsi="仿宋_GB2312" w:eastAsia="仿宋_GB2312" w:cs="仿宋_GB2312"/>
                <w:spacing w:val="-3"/>
                <w:sz w:val="24"/>
                <w:szCs w:val="24"/>
                <w:lang w:val="en-US" w:eastAsia="zh-CN"/>
              </w:rPr>
              <w:t>6</w:t>
            </w:r>
            <w:r>
              <w:rPr>
                <w:rFonts w:hint="eastAsia" w:ascii="仿宋_GB2312" w:hAnsi="仿宋_GB2312" w:eastAsia="仿宋_GB2312" w:cs="仿宋_GB2312"/>
                <w:spacing w:val="-3"/>
                <w:sz w:val="24"/>
                <w:szCs w:val="24"/>
              </w:rPr>
              <w:t>:</w:t>
            </w:r>
            <w:r>
              <w:rPr>
                <w:rFonts w:hint="eastAsia" w:ascii="仿宋_GB2312" w:hAnsi="仿宋_GB2312" w:eastAsia="仿宋_GB2312" w:cs="仿宋_GB2312"/>
                <w:spacing w:val="-3"/>
                <w:sz w:val="24"/>
                <w:szCs w:val="24"/>
                <w:lang w:val="en-US" w:eastAsia="zh-CN"/>
              </w:rPr>
              <w:t>15</w:t>
            </w:r>
          </w:p>
        </w:tc>
        <w:tc>
          <w:tcPr>
            <w:tcW w:w="5594" w:type="dxa"/>
            <w:vAlign w:val="top"/>
          </w:tcPr>
          <w:p>
            <w:pPr>
              <w:spacing w:before="120" w:line="184"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w:t>
            </w:r>
            <w:r>
              <w:rPr>
                <w:rFonts w:hint="eastAsia" w:ascii="仿宋_GB2312" w:hAnsi="仿宋_GB2312" w:eastAsia="仿宋_GB2312" w:cs="仿宋_GB2312"/>
                <w:spacing w:val="-3"/>
                <w:sz w:val="24"/>
                <w:szCs w:val="24"/>
                <w:lang w:val="en-US" w:eastAsia="zh-CN"/>
              </w:rPr>
              <w:t>金融职业</w:t>
            </w:r>
            <w:r>
              <w:rPr>
                <w:rFonts w:hint="eastAsia" w:ascii="仿宋_GB2312" w:hAnsi="仿宋_GB2312" w:eastAsia="仿宋_GB2312" w:cs="仿宋_GB2312"/>
                <w:spacing w:val="-3"/>
                <w:sz w:val="24"/>
                <w:szCs w:val="24"/>
              </w:rPr>
              <w:t>素养”</w:t>
            </w:r>
            <w:r>
              <w:rPr>
                <w:rFonts w:hint="eastAsia" w:ascii="仿宋_GB2312" w:hAnsi="仿宋_GB2312" w:eastAsia="仿宋_GB2312" w:cs="仿宋_GB2312"/>
                <w:spacing w:val="-3"/>
                <w:sz w:val="24"/>
                <w:szCs w:val="24"/>
                <w:lang w:val="en-US" w:eastAsia="zh-CN"/>
              </w:rPr>
              <w:t>模块</w:t>
            </w:r>
            <w:r>
              <w:rPr>
                <w:rFonts w:hint="eastAsia" w:ascii="仿宋_GB2312" w:hAnsi="仿宋_GB2312" w:eastAsia="仿宋_GB2312" w:cs="仿宋_GB2312"/>
                <w:spacing w:val="-3"/>
                <w:sz w:val="24"/>
                <w:szCs w:val="24"/>
              </w:rPr>
              <w:t>竞赛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restart"/>
            <w:tcBorders>
              <w:bottom w:val="nil"/>
            </w:tcBorders>
            <w:vAlign w:val="top"/>
          </w:tcPr>
          <w:p>
            <w:pPr>
              <w:spacing w:line="279" w:lineRule="auto"/>
              <w:rPr>
                <w:rFonts w:hint="eastAsia" w:ascii="仿宋_GB2312" w:hAnsi="仿宋_GB2312" w:eastAsia="仿宋_GB2312" w:cs="仿宋_GB2312"/>
                <w:sz w:val="24"/>
                <w:szCs w:val="24"/>
              </w:rPr>
            </w:pPr>
          </w:p>
          <w:p>
            <w:pPr>
              <w:spacing w:line="279" w:lineRule="auto"/>
              <w:rPr>
                <w:rFonts w:hint="eastAsia" w:ascii="仿宋_GB2312" w:hAnsi="仿宋_GB2312" w:eastAsia="仿宋_GB2312" w:cs="仿宋_GB2312"/>
                <w:sz w:val="24"/>
                <w:szCs w:val="24"/>
              </w:rPr>
            </w:pPr>
          </w:p>
          <w:p>
            <w:pPr>
              <w:spacing w:line="280" w:lineRule="auto"/>
              <w:rPr>
                <w:rFonts w:hint="eastAsia" w:ascii="仿宋_GB2312" w:hAnsi="仿宋_GB2312" w:eastAsia="仿宋_GB2312" w:cs="仿宋_GB2312"/>
                <w:sz w:val="24"/>
                <w:szCs w:val="24"/>
              </w:rPr>
            </w:pPr>
          </w:p>
          <w:p>
            <w:pPr>
              <w:spacing w:line="280" w:lineRule="auto"/>
              <w:rPr>
                <w:rFonts w:hint="eastAsia" w:ascii="仿宋_GB2312" w:hAnsi="仿宋_GB2312" w:eastAsia="仿宋_GB2312" w:cs="仿宋_GB2312"/>
                <w:sz w:val="24"/>
                <w:szCs w:val="24"/>
              </w:rPr>
            </w:pPr>
          </w:p>
          <w:p>
            <w:pPr>
              <w:spacing w:before="91" w:line="184" w:lineRule="auto"/>
              <w:ind w:firstLine="171"/>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第三天</w:t>
            </w:r>
          </w:p>
        </w:tc>
        <w:tc>
          <w:tcPr>
            <w:tcW w:w="1992" w:type="dxa"/>
            <w:vAlign w:val="top"/>
          </w:tcPr>
          <w:p>
            <w:pPr>
              <w:spacing w:before="120" w:line="184" w:lineRule="auto"/>
              <w:ind w:firstLine="386"/>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8:30-9:00</w:t>
            </w:r>
          </w:p>
        </w:tc>
        <w:tc>
          <w:tcPr>
            <w:tcW w:w="5594" w:type="dxa"/>
            <w:vAlign w:val="top"/>
          </w:tcPr>
          <w:p>
            <w:pPr>
              <w:spacing w:before="120" w:line="184"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抽签和二次加密、检录进场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0" w:line="184" w:lineRule="auto"/>
              <w:ind w:firstLine="314"/>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9:10-12:10</w:t>
            </w:r>
          </w:p>
        </w:tc>
        <w:tc>
          <w:tcPr>
            <w:tcW w:w="5594" w:type="dxa"/>
            <w:vAlign w:val="top"/>
          </w:tcPr>
          <w:p>
            <w:pPr>
              <w:spacing w:before="120" w:line="184"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w:t>
            </w:r>
            <w:r>
              <w:rPr>
                <w:rFonts w:hint="eastAsia" w:ascii="仿宋_GB2312" w:hAnsi="仿宋_GB2312" w:eastAsia="仿宋_GB2312" w:cs="仿宋_GB2312"/>
                <w:spacing w:val="-3"/>
                <w:sz w:val="24"/>
                <w:szCs w:val="24"/>
                <w:lang w:val="en-US" w:eastAsia="zh-CN"/>
              </w:rPr>
              <w:t>数字金融业务</w:t>
            </w:r>
            <w:r>
              <w:rPr>
                <w:rFonts w:hint="eastAsia" w:ascii="仿宋_GB2312" w:hAnsi="仿宋_GB2312" w:eastAsia="仿宋_GB2312" w:cs="仿宋_GB2312"/>
                <w:spacing w:val="-3"/>
                <w:sz w:val="24"/>
                <w:szCs w:val="24"/>
              </w:rPr>
              <w:t>”</w:t>
            </w:r>
            <w:r>
              <w:rPr>
                <w:rFonts w:hint="eastAsia" w:ascii="仿宋_GB2312" w:hAnsi="仿宋_GB2312" w:eastAsia="仿宋_GB2312" w:cs="仿宋_GB2312"/>
                <w:spacing w:val="-3"/>
                <w:sz w:val="24"/>
                <w:szCs w:val="24"/>
                <w:lang w:val="en-US" w:eastAsia="zh-CN"/>
              </w:rPr>
              <w:t>模块</w:t>
            </w:r>
            <w:r>
              <w:rPr>
                <w:rFonts w:hint="eastAsia" w:ascii="仿宋_GB2312" w:hAnsi="仿宋_GB2312" w:eastAsia="仿宋_GB2312" w:cs="仿宋_GB2312"/>
                <w:spacing w:val="-3"/>
                <w:sz w:val="24"/>
                <w:szCs w:val="24"/>
              </w:rPr>
              <w:t>竞赛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1"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12:20-14:00</w:t>
            </w:r>
          </w:p>
        </w:tc>
        <w:tc>
          <w:tcPr>
            <w:tcW w:w="5594" w:type="dxa"/>
            <w:vAlign w:val="top"/>
          </w:tcPr>
          <w:p>
            <w:pPr>
              <w:spacing w:before="121" w:line="184" w:lineRule="auto"/>
              <w:ind w:firstLine="2189"/>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午餐+午休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139" w:type="dxa"/>
            <w:vMerge w:val="continue"/>
            <w:tcBorders>
              <w:top w:val="nil"/>
              <w:bottom w:val="nil"/>
            </w:tcBorders>
            <w:vAlign w:val="top"/>
          </w:tcPr>
          <w:p>
            <w:pPr>
              <w:rPr>
                <w:rFonts w:hint="eastAsia" w:ascii="仿宋_GB2312" w:hAnsi="仿宋_GB2312" w:eastAsia="仿宋_GB2312" w:cs="仿宋_GB2312"/>
                <w:sz w:val="24"/>
                <w:szCs w:val="24"/>
              </w:rPr>
            </w:pPr>
          </w:p>
        </w:tc>
        <w:tc>
          <w:tcPr>
            <w:tcW w:w="1992" w:type="dxa"/>
            <w:vAlign w:val="top"/>
          </w:tcPr>
          <w:p>
            <w:pPr>
              <w:spacing w:before="120"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14:00-16:00</w:t>
            </w:r>
          </w:p>
        </w:tc>
        <w:tc>
          <w:tcPr>
            <w:tcW w:w="5594" w:type="dxa"/>
            <w:vAlign w:val="top"/>
          </w:tcPr>
          <w:p>
            <w:pPr>
              <w:spacing w:before="120" w:line="184" w:lineRule="auto"/>
              <w:ind w:firstLine="1566"/>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汇总成绩、打印证书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39" w:type="dxa"/>
            <w:vMerge w:val="continue"/>
            <w:tcBorders>
              <w:top w:val="nil"/>
            </w:tcBorders>
            <w:vAlign w:val="top"/>
          </w:tcPr>
          <w:p>
            <w:pPr>
              <w:rPr>
                <w:rFonts w:hint="eastAsia" w:ascii="仿宋_GB2312" w:hAnsi="仿宋_GB2312" w:eastAsia="仿宋_GB2312" w:cs="仿宋_GB2312"/>
                <w:sz w:val="24"/>
                <w:szCs w:val="24"/>
              </w:rPr>
            </w:pPr>
          </w:p>
        </w:tc>
        <w:tc>
          <w:tcPr>
            <w:tcW w:w="1992" w:type="dxa"/>
            <w:vAlign w:val="top"/>
          </w:tcPr>
          <w:p>
            <w:pPr>
              <w:spacing w:before="176" w:line="184" w:lineRule="auto"/>
              <w:ind w:firstLine="249"/>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16:00-17:00</w:t>
            </w:r>
          </w:p>
        </w:tc>
        <w:tc>
          <w:tcPr>
            <w:tcW w:w="5594" w:type="dxa"/>
            <w:vAlign w:val="top"/>
          </w:tcPr>
          <w:p>
            <w:pPr>
              <w:spacing w:before="176" w:line="184" w:lineRule="auto"/>
              <w:ind w:firstLine="1693"/>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竞赛颁奖及闭幕式</w:t>
            </w:r>
          </w:p>
        </w:tc>
      </w:tr>
    </w:tbl>
    <w:p>
      <w:pPr>
        <w:pStyle w:val="15"/>
        <w:ind w:left="0" w:leftChars="0" w:firstLine="0" w:firstLineChars="0"/>
        <w:rPr>
          <w:rFonts w:hint="eastAsia"/>
        </w:rPr>
      </w:pPr>
    </w:p>
    <w:p>
      <w:pPr>
        <w:pStyle w:val="8"/>
        <w:widowControl/>
        <w:numPr>
          <w:ilvl w:val="0"/>
          <w:numId w:val="0"/>
        </w:numPr>
        <w:ind w:left="0" w:leftChars="0" w:firstLine="640" w:firstLineChars="200"/>
        <w:jc w:val="left"/>
        <w:outlineLvl w:val="0"/>
        <w:rPr>
          <w:rFonts w:hint="eastAsia" w:ascii="黑体" w:eastAsia="黑体"/>
          <w:sz w:val="32"/>
          <w:szCs w:val="32"/>
        </w:rPr>
      </w:pPr>
      <w:r>
        <w:rPr>
          <w:rFonts w:ascii="黑体" w:eastAsia="黑体"/>
          <w:sz w:val="32"/>
          <w:szCs w:val="32"/>
        </w:rPr>
        <w:br w:type="page"/>
      </w:r>
      <w:r>
        <w:rPr>
          <w:rFonts w:hint="eastAsia" w:ascii="黑体" w:eastAsia="黑体"/>
          <w:sz w:val="32"/>
          <w:szCs w:val="32"/>
          <w:lang w:val="en-US" w:eastAsia="zh-CN"/>
        </w:rPr>
        <w:t>六、</w:t>
      </w:r>
      <w:r>
        <w:rPr>
          <w:rFonts w:hint="eastAsia" w:ascii="黑体" w:eastAsia="黑体"/>
          <w:sz w:val="32"/>
          <w:szCs w:val="32"/>
        </w:rPr>
        <w:t>竞赛规则</w:t>
      </w:r>
    </w:p>
    <w:p>
      <w:pPr>
        <w:adjustRightInd/>
        <w:snapToGrid/>
        <w:spacing w:line="240" w:lineRule="auto"/>
        <w:ind w:right="0" w:rightChars="0"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（一）报名要求</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参赛选手须为同一院校全日制在籍高职学生（含高等职业学校本科全日制在籍学生，五年制中职四、五年级在籍学生）。在往届全国职业院校技能大赛中获一等奖的选手，不能再参加同一项目同一组别的比赛。</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赛选手和指导教师报名获得确认后不得随意更换。如比赛前参赛选手和指导教师因故无法参赛，须由省级教育行政部门于参与赛项开赛10个工作日之前出具书面说明，经大赛执委会办公室核实后予以更换。如备赛过程中参赛选手和指导教师因故无法参赛，视为弃赛。竞赛开始后，参赛队不得更换参赛队员。</w:t>
      </w:r>
    </w:p>
    <w:p>
      <w:pPr>
        <w:adjustRightInd w:val="0"/>
        <w:snapToGrid w:val="0"/>
        <w:spacing w:line="360" w:lineRule="auto"/>
        <w:ind w:right="0" w:rightChars="0" w:firstLine="546" w:firstLineChars="200"/>
        <w:jc w:val="left"/>
        <w:rPr>
          <w:rFonts w:hint="eastAsia" w:ascii="仿宋_GB2312" w:hAnsi="仿宋_GB2312" w:eastAsia="仿宋_GB2312" w:cs="仿宋_GB2312"/>
          <w:sz w:val="28"/>
          <w:szCs w:val="28"/>
        </w:rPr>
      </w:pPr>
      <w:r>
        <w:rPr>
          <w:rFonts w:hint="eastAsia" w:ascii="楷体" w:hAnsi="楷体" w:eastAsia="楷体" w:cs="楷体"/>
          <w:b/>
          <w:bCs/>
          <w:spacing w:val="-4"/>
          <w:sz w:val="28"/>
          <w:szCs w:val="28"/>
          <w:highlight w:val="none"/>
        </w:rPr>
        <w:t>（二）赛前准备</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竞赛预备会：赛前召开竞赛预备会，由各参赛队伍的领队和指导教师参加，会议讲解竞赛注意事项并进行赛前答疑。</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抽签仪式：比赛加密抽签。</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熟悉场地：赛前开放赛场，熟悉场地。</w:t>
      </w:r>
    </w:p>
    <w:p>
      <w:pPr>
        <w:adjustRightInd w:val="0"/>
        <w:snapToGrid w:val="0"/>
        <w:spacing w:line="360" w:lineRule="auto"/>
        <w:ind w:right="0" w:rightChars="0" w:firstLine="546" w:firstLineChars="200"/>
        <w:jc w:val="left"/>
        <w:rPr>
          <w:rFonts w:hint="eastAsia" w:ascii="仿宋_GB2312" w:hAnsi="仿宋_GB2312" w:eastAsia="仿宋_GB2312" w:cs="仿宋_GB2312"/>
          <w:sz w:val="28"/>
          <w:szCs w:val="28"/>
        </w:rPr>
      </w:pPr>
      <w:r>
        <w:rPr>
          <w:rFonts w:hint="eastAsia" w:ascii="楷体" w:hAnsi="楷体" w:eastAsia="楷体" w:cs="楷体"/>
          <w:b/>
          <w:bCs/>
          <w:spacing w:val="-4"/>
          <w:sz w:val="28"/>
          <w:szCs w:val="28"/>
          <w:highlight w:val="none"/>
        </w:rPr>
        <w:t>（三）比赛期间</w:t>
      </w:r>
    </w:p>
    <w:p>
      <w:pPr>
        <w:pStyle w:val="8"/>
        <w:numPr>
          <w:ilvl w:val="0"/>
          <w:numId w:val="0"/>
        </w:numPr>
        <w:adjustRightInd w:val="0"/>
        <w:snapToGrid w:val="0"/>
        <w:spacing w:line="360" w:lineRule="auto"/>
        <w:ind w:firstLine="560" w:firstLineChars="200"/>
        <w:rPr>
          <w:sz w:val="28"/>
          <w:szCs w:val="28"/>
        </w:rPr>
      </w:pPr>
      <w:r>
        <w:rPr>
          <w:rFonts w:hint="eastAsia" w:ascii="仿宋_GB2312" w:hAnsi="仿宋_GB2312" w:eastAsia="仿宋_GB2312" w:cs="仿宋_GB2312"/>
          <w:sz w:val="28"/>
          <w:szCs w:val="28"/>
        </w:rPr>
        <w:t>竞赛期间的每个环节，参赛选手须听从工作人员安排，不得自行离开规定的场地。</w:t>
      </w:r>
    </w:p>
    <w:p>
      <w:pPr>
        <w:numPr>
          <w:ilvl w:val="-1"/>
          <w:numId w:val="0"/>
        </w:numPr>
        <w:spacing w:before="156" w:beforeLines="50" w:after="156" w:afterLines="50"/>
        <w:ind w:left="420" w:leftChars="200" w:firstLine="0" w:firstLineChars="0"/>
        <w:outlineLvl w:val="0"/>
        <w:rPr>
          <w:rFonts w:hint="eastAsia" w:ascii="黑体" w:eastAsia="黑体"/>
          <w:sz w:val="32"/>
          <w:szCs w:val="32"/>
        </w:rPr>
      </w:pPr>
      <w:r>
        <w:rPr>
          <w:rFonts w:hint="eastAsia" w:ascii="黑体" w:eastAsia="黑体"/>
          <w:sz w:val="32"/>
          <w:szCs w:val="32"/>
          <w:lang w:val="en-US" w:eastAsia="zh-CN"/>
        </w:rPr>
        <w:t>七、</w:t>
      </w:r>
      <w:r>
        <w:rPr>
          <w:rFonts w:hint="eastAsia" w:ascii="黑体" w:eastAsia="黑体"/>
          <w:sz w:val="32"/>
          <w:szCs w:val="32"/>
        </w:rPr>
        <w:t>技术规范</w:t>
      </w:r>
    </w:p>
    <w:p>
      <w:pPr>
        <w:adjustRightInd w:val="0"/>
        <w:snapToGrid w:val="0"/>
        <w:spacing w:line="360" w:lineRule="auto"/>
        <w:ind w:right="0" w:rightChars="0"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赛项竞赛内容符合国内金融机构业务技术规范，竞赛采用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智慧金融</w:t>
      </w:r>
      <w:r>
        <w:rPr>
          <w:rFonts w:hint="eastAsia" w:ascii="仿宋_GB2312" w:hAnsi="仿宋_GB2312" w:eastAsia="仿宋_GB2312" w:cs="仿宋_GB2312"/>
          <w:sz w:val="28"/>
          <w:szCs w:val="28"/>
        </w:rPr>
        <w:t>竞赛平</w:t>
      </w:r>
      <w:r>
        <w:rPr>
          <w:rFonts w:hint="eastAsia" w:ascii="仿宋_GB2312" w:hAnsi="仿宋_GB2312" w:eastAsia="仿宋_GB2312" w:cs="仿宋_GB2312"/>
          <w:sz w:val="28"/>
          <w:szCs w:val="28"/>
          <w:lang w:val="en-US" w:eastAsia="zh-CN"/>
        </w:rPr>
        <w:t>台”</w:t>
      </w:r>
      <w:r>
        <w:rPr>
          <w:rFonts w:hint="eastAsia" w:ascii="仿宋_GB2312" w:hAnsi="仿宋_GB2312" w:eastAsia="仿宋_GB2312" w:cs="仿宋_GB2312"/>
          <w:sz w:val="28"/>
          <w:szCs w:val="28"/>
        </w:rPr>
        <w:t>，符合相关行业技术标准、业务流程、业务规范设计。</w:t>
      </w:r>
    </w:p>
    <w:p>
      <w:pPr>
        <w:adjustRightInd w:val="0"/>
        <w:snapToGrid w:val="0"/>
        <w:spacing w:line="360" w:lineRule="auto"/>
        <w:ind w:right="0" w:rightChars="0" w:firstLine="546" w:firstLineChars="200"/>
        <w:jc w:val="both"/>
        <w:rPr>
          <w:rFonts w:hint="eastAsia" w:ascii="仿宋_GB2312" w:hAnsi="仿宋_GB2312" w:eastAsia="仿宋_GB2312" w:cs="仿宋_GB2312"/>
          <w:b/>
          <w:bCs/>
          <w:sz w:val="28"/>
          <w:szCs w:val="28"/>
        </w:rPr>
      </w:pPr>
      <w:r>
        <w:rPr>
          <w:rFonts w:hint="eastAsia" w:ascii="楷体" w:hAnsi="楷体" w:eastAsia="楷体" w:cs="楷体"/>
          <w:b/>
          <w:bCs/>
          <w:spacing w:val="-4"/>
          <w:sz w:val="28"/>
          <w:szCs w:val="28"/>
          <w:highlight w:val="none"/>
        </w:rPr>
        <w:t>（一）B/S架构</w:t>
      </w:r>
    </w:p>
    <w:p>
      <w:pPr>
        <w:adjustRightInd w:val="0"/>
        <w:snapToGrid w:val="0"/>
        <w:spacing w:line="360" w:lineRule="auto"/>
        <w:ind w:right="0" w:rightChars="0"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采用B/S结构，能支持远程应用，可通过局域网或互联网连接登录使用。</w:t>
      </w:r>
    </w:p>
    <w:p>
      <w:pPr>
        <w:adjustRightInd w:val="0"/>
        <w:snapToGrid w:val="0"/>
        <w:spacing w:line="360" w:lineRule="auto"/>
        <w:ind w:right="0" w:rightChars="0" w:firstLine="546" w:firstLineChars="200"/>
        <w:jc w:val="both"/>
        <w:rPr>
          <w:rFonts w:hint="eastAsia" w:ascii="仿宋_GB2312" w:hAnsi="仿宋_GB2312" w:eastAsia="仿宋_GB2312" w:cs="仿宋_GB2312"/>
          <w:sz w:val="28"/>
          <w:szCs w:val="28"/>
        </w:rPr>
      </w:pPr>
      <w:r>
        <w:rPr>
          <w:rFonts w:hint="eastAsia" w:ascii="楷体" w:hAnsi="楷体" w:eastAsia="楷体" w:cs="楷体"/>
          <w:b/>
          <w:bCs/>
          <w:spacing w:val="-4"/>
          <w:sz w:val="28"/>
          <w:szCs w:val="28"/>
          <w:highlight w:val="none"/>
        </w:rPr>
        <w:t>（二）三层结构</w:t>
      </w:r>
    </w:p>
    <w:p>
      <w:pPr>
        <w:adjustRightInd w:val="0"/>
        <w:snapToGrid w:val="0"/>
        <w:spacing w:line="360" w:lineRule="auto"/>
        <w:ind w:right="0" w:rightChars="0"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“智慧金融</w:t>
      </w:r>
      <w:r>
        <w:rPr>
          <w:rFonts w:hint="eastAsia" w:ascii="仿宋_GB2312" w:hAnsi="仿宋_GB2312" w:eastAsia="仿宋_GB2312" w:cs="仿宋_GB2312"/>
          <w:sz w:val="28"/>
          <w:szCs w:val="28"/>
        </w:rPr>
        <w:t>竞赛平</w:t>
      </w:r>
      <w:r>
        <w:rPr>
          <w:rFonts w:hint="eastAsia" w:ascii="仿宋_GB2312" w:hAnsi="仿宋_GB2312" w:eastAsia="仿宋_GB2312" w:cs="仿宋_GB2312"/>
          <w:sz w:val="28"/>
          <w:szCs w:val="28"/>
          <w:lang w:val="en-US" w:eastAsia="zh-CN"/>
        </w:rPr>
        <w:t>台”</w:t>
      </w:r>
      <w:r>
        <w:rPr>
          <w:rFonts w:hint="eastAsia" w:ascii="仿宋_GB2312" w:hAnsi="仿宋_GB2312" w:eastAsia="仿宋_GB2312" w:cs="仿宋_GB2312"/>
          <w:sz w:val="28"/>
          <w:szCs w:val="28"/>
        </w:rPr>
        <w:t>设计包括数据库层、应用服务器层、操作层。系统扩展能力强，可以满足上百个小组或数千人同时竞赛。</w:t>
      </w:r>
    </w:p>
    <w:p>
      <w:pPr>
        <w:adjustRightInd w:val="0"/>
        <w:snapToGrid w:val="0"/>
        <w:spacing w:line="360" w:lineRule="auto"/>
        <w:ind w:right="0" w:rightChars="0" w:firstLine="546" w:firstLineChars="200"/>
        <w:jc w:val="both"/>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（三）数据库</w:t>
      </w:r>
    </w:p>
    <w:p>
      <w:pPr>
        <w:adjustRightInd w:val="0"/>
        <w:snapToGrid w:val="0"/>
        <w:spacing w:line="360" w:lineRule="auto"/>
        <w:ind w:right="0" w:rightChars="0"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“智慧金融</w:t>
      </w:r>
      <w:r>
        <w:rPr>
          <w:rFonts w:hint="eastAsia" w:ascii="仿宋_GB2312" w:hAnsi="仿宋_GB2312" w:eastAsia="仿宋_GB2312" w:cs="仿宋_GB2312"/>
          <w:sz w:val="28"/>
          <w:szCs w:val="28"/>
        </w:rPr>
        <w:t>竞赛平台</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后台采用SQL Server 2008 R2专业数据库系统，数据安全性较高。</w:t>
      </w:r>
    </w:p>
    <w:p>
      <w:pPr>
        <w:adjustRightInd w:val="0"/>
        <w:snapToGrid w:val="0"/>
        <w:spacing w:line="360" w:lineRule="auto"/>
        <w:ind w:right="0" w:rightChars="0" w:firstLine="546" w:firstLineChars="200"/>
        <w:jc w:val="both"/>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（四）软件知识产权</w:t>
      </w:r>
    </w:p>
    <w:p>
      <w:pPr>
        <w:pStyle w:val="8"/>
        <w:numPr>
          <w:ilvl w:val="0"/>
          <w:numId w:val="0"/>
        </w:numPr>
        <w:adjustRightInd w:val="0"/>
        <w:snapToGrid w:val="0"/>
        <w:spacing w:line="360" w:lineRule="auto"/>
        <w:ind w:right="0" w:righ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竞赛平台具有独立知识产权，拥有计算机软件著作权证书。</w:t>
      </w:r>
    </w:p>
    <w:p>
      <w:pPr>
        <w:pStyle w:val="8"/>
        <w:numPr>
          <w:ilvl w:val="0"/>
          <w:numId w:val="0"/>
        </w:numPr>
        <w:adjustRightInd w:val="0"/>
        <w:snapToGrid w:val="0"/>
        <w:spacing w:before="156" w:beforeLines="50" w:after="156" w:afterLines="50" w:line="360" w:lineRule="auto"/>
        <w:ind w:left="0" w:leftChars="0" w:right="0" w:rightChars="0" w:firstLine="640" w:firstLineChars="200"/>
        <w:outlineLvl w:val="0"/>
        <w:rPr>
          <w:rFonts w:hint="eastAsia" w:ascii="黑体" w:eastAsia="黑体"/>
          <w:sz w:val="32"/>
          <w:szCs w:val="32"/>
        </w:rPr>
      </w:pPr>
      <w:r>
        <w:rPr>
          <w:rFonts w:hint="eastAsia" w:ascii="黑体" w:eastAsia="黑体"/>
          <w:sz w:val="32"/>
          <w:szCs w:val="32"/>
          <w:lang w:val="en-US" w:eastAsia="zh-CN"/>
        </w:rPr>
        <w:t>八、</w:t>
      </w:r>
      <w:r>
        <w:rPr>
          <w:rFonts w:hint="eastAsia" w:ascii="黑体" w:eastAsia="黑体"/>
          <w:sz w:val="32"/>
          <w:szCs w:val="32"/>
        </w:rPr>
        <w:t>技术环境</w:t>
      </w:r>
    </w:p>
    <w:p>
      <w:pPr>
        <w:adjustRightInd w:val="0"/>
        <w:snapToGrid w:val="0"/>
        <w:spacing w:line="360" w:lineRule="auto"/>
        <w:ind w:right="0" w:rightChars="0"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本赛项竞赛采用的“</w:t>
      </w:r>
      <w:r>
        <w:rPr>
          <w:rFonts w:hint="eastAsia" w:ascii="仿宋_GB2312" w:hAnsi="仿宋_GB2312" w:eastAsia="仿宋_GB2312" w:cs="仿宋_GB2312"/>
          <w:color w:val="auto"/>
          <w:sz w:val="28"/>
          <w:szCs w:val="28"/>
          <w:lang w:val="en-US" w:eastAsia="zh-CN"/>
        </w:rPr>
        <w:t>智慧金融</w:t>
      </w:r>
      <w:r>
        <w:rPr>
          <w:rFonts w:hint="eastAsia" w:ascii="仿宋_GB2312" w:hAnsi="仿宋_GB2312" w:eastAsia="仿宋_GB2312" w:cs="仿宋_GB2312"/>
          <w:color w:val="auto"/>
          <w:sz w:val="28"/>
          <w:szCs w:val="28"/>
          <w:lang w:eastAsia="zh-CN"/>
        </w:rPr>
        <w:t>竞赛平台”满足“</w:t>
      </w:r>
      <w:r>
        <w:rPr>
          <w:rFonts w:hint="eastAsia" w:ascii="仿宋_GB2312" w:hAnsi="仿宋_GB2312" w:eastAsia="仿宋_GB2312" w:cs="仿宋_GB2312"/>
          <w:color w:val="auto"/>
          <w:sz w:val="28"/>
          <w:szCs w:val="28"/>
          <w:lang w:val="en-US" w:eastAsia="zh-CN"/>
        </w:rPr>
        <w:t>金融职业素养</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金融综合技能</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数字金融业务</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三个竞赛模块</w:t>
      </w:r>
      <w:r>
        <w:rPr>
          <w:rFonts w:hint="eastAsia" w:ascii="仿宋_GB2312" w:hAnsi="仿宋_GB2312" w:eastAsia="仿宋_GB2312" w:cs="仿宋_GB2312"/>
          <w:color w:val="auto"/>
          <w:sz w:val="28"/>
          <w:szCs w:val="28"/>
          <w:lang w:eastAsia="zh-CN"/>
        </w:rPr>
        <w:t>比赛需求。其中，“</w:t>
      </w:r>
      <w:r>
        <w:rPr>
          <w:rFonts w:hint="eastAsia" w:ascii="仿宋_GB2312" w:hAnsi="仿宋_GB2312" w:eastAsia="仿宋_GB2312" w:cs="仿宋_GB2312"/>
          <w:color w:val="auto"/>
          <w:sz w:val="28"/>
          <w:szCs w:val="28"/>
          <w:lang w:val="en-US" w:eastAsia="zh-CN"/>
        </w:rPr>
        <w:t>金融职业素养</w:t>
      </w:r>
      <w:r>
        <w:rPr>
          <w:rFonts w:hint="eastAsia" w:ascii="仿宋_GB2312" w:hAnsi="仿宋_GB2312" w:eastAsia="仿宋_GB2312" w:cs="仿宋_GB2312"/>
          <w:color w:val="auto"/>
          <w:sz w:val="28"/>
          <w:szCs w:val="28"/>
          <w:lang w:eastAsia="zh-CN"/>
        </w:rPr>
        <w:t>”系统包括</w:t>
      </w:r>
      <w:r>
        <w:rPr>
          <w:rFonts w:hint="eastAsia" w:ascii="仿宋_GB2312" w:hAnsi="仿宋_GB2312" w:eastAsia="仿宋_GB2312" w:cs="仿宋_GB2312"/>
          <w:color w:val="auto"/>
          <w:sz w:val="28"/>
          <w:szCs w:val="28"/>
          <w:lang w:val="en-US" w:eastAsia="zh-CN"/>
        </w:rPr>
        <w:t>业务素养知识、</w:t>
      </w:r>
      <w:r>
        <w:rPr>
          <w:rFonts w:hint="eastAsia" w:ascii="仿宋_GB2312" w:hAnsi="仿宋_GB2312" w:eastAsia="仿宋_GB2312" w:cs="仿宋_GB2312"/>
          <w:color w:val="auto"/>
          <w:sz w:val="28"/>
          <w:szCs w:val="28"/>
          <w:lang w:eastAsia="zh-CN"/>
        </w:rPr>
        <w:t>传票数字录入、字符录入、手工点钞、货币防伪与鉴别</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个模块，“</w:t>
      </w:r>
      <w:r>
        <w:rPr>
          <w:rFonts w:hint="eastAsia" w:ascii="仿宋_GB2312" w:hAnsi="仿宋_GB2312" w:eastAsia="仿宋_GB2312" w:cs="仿宋_GB2312"/>
          <w:color w:val="auto"/>
          <w:sz w:val="28"/>
          <w:szCs w:val="28"/>
          <w:lang w:val="en-US" w:eastAsia="zh-CN"/>
        </w:rPr>
        <w:t>金融综合技能</w:t>
      </w:r>
      <w:r>
        <w:rPr>
          <w:rFonts w:hint="eastAsia" w:ascii="仿宋_GB2312" w:hAnsi="仿宋_GB2312" w:eastAsia="仿宋_GB2312" w:cs="仿宋_GB2312"/>
          <w:color w:val="auto"/>
          <w:sz w:val="28"/>
          <w:szCs w:val="28"/>
          <w:lang w:eastAsia="zh-CN"/>
        </w:rPr>
        <w:t>”系统包括大堂经理岗、综合柜员岗、客户经理岗、理财经理岗4个</w:t>
      </w:r>
      <w:r>
        <w:rPr>
          <w:rFonts w:hint="eastAsia" w:ascii="仿宋_GB2312" w:hAnsi="仿宋_GB2312" w:eastAsia="仿宋_GB2312" w:cs="仿宋_GB2312"/>
          <w:color w:val="auto"/>
          <w:sz w:val="28"/>
          <w:szCs w:val="28"/>
          <w:lang w:val="en-US" w:eastAsia="zh-CN"/>
        </w:rPr>
        <w:t>岗位竞赛任务</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数字金融业务</w:t>
      </w:r>
      <w:r>
        <w:rPr>
          <w:rFonts w:hint="eastAsia" w:ascii="仿宋_GB2312" w:hAnsi="仿宋_GB2312" w:eastAsia="仿宋_GB2312" w:cs="仿宋_GB2312"/>
          <w:color w:val="auto"/>
          <w:sz w:val="28"/>
          <w:szCs w:val="28"/>
          <w:lang w:eastAsia="zh-CN"/>
        </w:rPr>
        <w:t>”系统包括</w:t>
      </w:r>
      <w:r>
        <w:rPr>
          <w:rFonts w:hint="eastAsia" w:ascii="仿宋_GB2312" w:hAnsi="仿宋_GB2312" w:eastAsia="仿宋_GB2312" w:cs="仿宋_GB2312"/>
          <w:color w:val="auto"/>
          <w:spacing w:val="-6"/>
          <w:sz w:val="28"/>
          <w:szCs w:val="28"/>
          <w:lang w:val="en-US" w:eastAsia="zh-CN"/>
        </w:rPr>
        <w:t>大数据金融业务、区块链金融业务、支付业务数字化、银行业务数字化、证券业务数字化、保险业业务数字化、金融科技业务创新、数字金融业务监管8</w:t>
      </w:r>
      <w:r>
        <w:rPr>
          <w:rFonts w:hint="eastAsia" w:ascii="仿宋_GB2312" w:hAnsi="仿宋_GB2312" w:eastAsia="仿宋_GB2312" w:cs="仿宋_GB2312"/>
          <w:color w:val="auto"/>
          <w:sz w:val="28"/>
          <w:szCs w:val="28"/>
          <w:lang w:eastAsia="zh-CN"/>
        </w:rPr>
        <w:t>个</w:t>
      </w:r>
      <w:r>
        <w:rPr>
          <w:rFonts w:hint="eastAsia" w:ascii="仿宋_GB2312" w:hAnsi="仿宋_GB2312" w:eastAsia="仿宋_GB2312" w:cs="仿宋_GB2312"/>
          <w:color w:val="auto"/>
          <w:sz w:val="28"/>
          <w:szCs w:val="28"/>
          <w:lang w:val="en-US" w:eastAsia="zh-CN"/>
        </w:rPr>
        <w:t>竞赛单元</w:t>
      </w:r>
      <w:r>
        <w:rPr>
          <w:rFonts w:hint="eastAsia" w:ascii="仿宋_GB2312" w:hAnsi="仿宋_GB2312" w:eastAsia="仿宋_GB2312" w:cs="仿宋_GB2312"/>
          <w:color w:val="auto"/>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546" w:firstLineChars="200"/>
        <w:jc w:val="left"/>
        <w:textAlignment w:val="auto"/>
        <w:outlineLvl w:val="9"/>
        <w:rPr>
          <w:rFonts w:hint="eastAsia" w:ascii="楷体" w:hAnsi="楷体" w:eastAsia="楷体" w:cs="楷体"/>
          <w:b/>
          <w:bCs/>
          <w:color w:val="auto"/>
          <w:spacing w:val="-4"/>
          <w:sz w:val="28"/>
          <w:szCs w:val="28"/>
          <w:highlight w:val="none"/>
        </w:rPr>
      </w:pPr>
      <w:r>
        <w:rPr>
          <w:rFonts w:hint="eastAsia" w:ascii="楷体" w:hAnsi="楷体" w:eastAsia="楷体" w:cs="楷体"/>
          <w:b/>
          <w:bCs/>
          <w:color w:val="auto"/>
          <w:spacing w:val="-4"/>
          <w:sz w:val="28"/>
          <w:szCs w:val="28"/>
          <w:highlight w:val="none"/>
        </w:rPr>
        <w:t>（一）服务器、计算机、数据库及网络设备等要求</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472"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22"/>
          <w:w w:val="100"/>
          <w:sz w:val="28"/>
          <w:szCs w:val="28"/>
          <w:lang w:val="en-US" w:eastAsia="zh-CN"/>
        </w:rPr>
        <w:t>1.</w:t>
      </w:r>
      <w:r>
        <w:rPr>
          <w:rFonts w:hint="eastAsia" w:ascii="仿宋_GB2312" w:hAnsi="仿宋_GB2312" w:eastAsia="仿宋_GB2312" w:cs="仿宋_GB2312"/>
          <w:color w:val="auto"/>
          <w:spacing w:val="-22"/>
          <w:w w:val="100"/>
          <w:sz w:val="28"/>
          <w:szCs w:val="28"/>
        </w:rPr>
        <w:t>服务器数量：</w:t>
      </w:r>
      <w:r>
        <w:rPr>
          <w:rFonts w:hint="eastAsia" w:ascii="仿宋_GB2312" w:hAnsi="仿宋_GB2312" w:eastAsia="仿宋_GB2312" w:cs="仿宋_GB2312"/>
          <w:color w:val="auto"/>
          <w:w w:val="100"/>
          <w:sz w:val="28"/>
          <w:szCs w:val="28"/>
          <w:lang w:val="en-US" w:eastAsia="zh-CN"/>
        </w:rPr>
        <w:t>6</w:t>
      </w:r>
      <w:r>
        <w:rPr>
          <w:rFonts w:hint="eastAsia" w:ascii="仿宋_GB2312" w:hAnsi="仿宋_GB2312" w:eastAsia="仿宋_GB2312" w:cs="仿宋_GB2312"/>
          <w:color w:val="auto"/>
          <w:spacing w:val="-34"/>
          <w:w w:val="100"/>
          <w:sz w:val="28"/>
          <w:szCs w:val="28"/>
        </w:rPr>
        <w:t>台；系统配置：</w:t>
      </w:r>
      <w:r>
        <w:rPr>
          <w:rFonts w:hint="eastAsia" w:ascii="仿宋_GB2312" w:hAnsi="仿宋_GB2312" w:eastAsia="仿宋_GB2312" w:cs="仿宋_GB2312"/>
          <w:color w:val="auto"/>
          <w:spacing w:val="-2"/>
          <w:w w:val="100"/>
          <w:sz w:val="28"/>
          <w:szCs w:val="28"/>
        </w:rPr>
        <w:t>C</w:t>
      </w:r>
      <w:r>
        <w:rPr>
          <w:rFonts w:hint="eastAsia" w:ascii="仿宋_GB2312" w:hAnsi="仿宋_GB2312" w:eastAsia="仿宋_GB2312" w:cs="仿宋_GB2312"/>
          <w:color w:val="auto"/>
          <w:w w:val="100"/>
          <w:sz w:val="28"/>
          <w:szCs w:val="28"/>
        </w:rPr>
        <w:t>P</w:t>
      </w:r>
      <w:r>
        <w:rPr>
          <w:rFonts w:hint="eastAsia" w:ascii="仿宋_GB2312" w:hAnsi="仿宋_GB2312" w:eastAsia="仿宋_GB2312" w:cs="仿宋_GB2312"/>
          <w:color w:val="auto"/>
          <w:spacing w:val="-1"/>
          <w:w w:val="100"/>
          <w:sz w:val="28"/>
          <w:szCs w:val="28"/>
        </w:rPr>
        <w:t>U</w:t>
      </w:r>
      <w:r>
        <w:rPr>
          <w:rFonts w:hint="eastAsia" w:ascii="仿宋_GB2312" w:hAnsi="仿宋_GB2312" w:eastAsia="仿宋_GB2312" w:cs="仿宋_GB2312"/>
          <w:color w:val="auto"/>
          <w:w w:val="100"/>
          <w:sz w:val="28"/>
          <w:szCs w:val="28"/>
        </w:rPr>
        <w:t>：</w:t>
      </w:r>
      <w:r>
        <w:rPr>
          <w:rFonts w:hint="eastAsia" w:ascii="仿宋_GB2312" w:hAnsi="仿宋_GB2312" w:eastAsia="仿宋_GB2312" w:cs="仿宋_GB2312"/>
          <w:color w:val="auto"/>
          <w:spacing w:val="-112"/>
          <w:sz w:val="28"/>
          <w:szCs w:val="28"/>
        </w:rPr>
        <w:t xml:space="preserve"> </w:t>
      </w:r>
      <w:r>
        <w:rPr>
          <w:rFonts w:hint="eastAsia" w:ascii="仿宋_GB2312" w:hAnsi="仿宋_GB2312" w:eastAsia="仿宋_GB2312" w:cs="仿宋_GB2312"/>
          <w:color w:val="auto"/>
          <w:w w:val="100"/>
          <w:sz w:val="28"/>
          <w:szCs w:val="28"/>
        </w:rPr>
        <w:t>4</w:t>
      </w:r>
      <w:r>
        <w:rPr>
          <w:rFonts w:hint="eastAsia" w:ascii="仿宋_GB2312" w:hAnsi="仿宋_GB2312" w:eastAsia="仿宋_GB2312" w:cs="仿宋_GB2312"/>
          <w:color w:val="auto"/>
          <w:spacing w:val="67"/>
          <w:w w:val="100"/>
          <w:sz w:val="28"/>
          <w:szCs w:val="28"/>
        </w:rPr>
        <w:t>颗</w:t>
      </w:r>
      <w:r>
        <w:rPr>
          <w:rFonts w:hint="eastAsia" w:ascii="仿宋_GB2312" w:hAnsi="仿宋_GB2312" w:eastAsia="仿宋_GB2312" w:cs="仿宋_GB2312"/>
          <w:color w:val="auto"/>
          <w:w w:val="100"/>
          <w:sz w:val="28"/>
          <w:szCs w:val="28"/>
        </w:rPr>
        <w:t>Q</w:t>
      </w:r>
      <w:r>
        <w:rPr>
          <w:rFonts w:hint="eastAsia" w:ascii="仿宋_GB2312" w:hAnsi="仿宋_GB2312" w:eastAsia="仿宋_GB2312" w:cs="仿宋_GB2312"/>
          <w:color w:val="auto"/>
          <w:spacing w:val="-2"/>
          <w:w w:val="100"/>
          <w:sz w:val="28"/>
          <w:szCs w:val="28"/>
        </w:rPr>
        <w:t>ua</w:t>
      </w:r>
      <w:r>
        <w:rPr>
          <w:rFonts w:hint="eastAsia" w:ascii="仿宋_GB2312" w:hAnsi="仿宋_GB2312" w:eastAsia="仿宋_GB2312" w:cs="仿宋_GB2312"/>
          <w:color w:val="auto"/>
          <w:w w:val="100"/>
          <w:sz w:val="28"/>
          <w:szCs w:val="28"/>
        </w:rPr>
        <w:t>d</w:t>
      </w:r>
      <w:r>
        <w:rPr>
          <w:rFonts w:hint="eastAsia" w:ascii="仿宋_GB2312" w:hAnsi="仿宋_GB2312" w:eastAsia="仿宋_GB2312" w:cs="仿宋_GB2312"/>
          <w:color w:val="auto"/>
          <w:spacing w:val="-70"/>
          <w:sz w:val="28"/>
          <w:szCs w:val="28"/>
        </w:rPr>
        <w:t xml:space="preserve"> </w:t>
      </w:r>
      <w:r>
        <w:rPr>
          <w:rFonts w:hint="eastAsia" w:ascii="仿宋_GB2312" w:hAnsi="仿宋_GB2312" w:eastAsia="仿宋_GB2312" w:cs="仿宋_GB2312"/>
          <w:color w:val="auto"/>
          <w:spacing w:val="-2"/>
          <w:w w:val="100"/>
          <w:sz w:val="28"/>
          <w:szCs w:val="28"/>
        </w:rPr>
        <w:t>C</w:t>
      </w:r>
      <w:r>
        <w:rPr>
          <w:rFonts w:hint="eastAsia" w:ascii="仿宋_GB2312" w:hAnsi="仿宋_GB2312" w:eastAsia="仿宋_GB2312" w:cs="仿宋_GB2312"/>
          <w:color w:val="auto"/>
          <w:w w:val="100"/>
          <w:sz w:val="28"/>
          <w:szCs w:val="28"/>
        </w:rPr>
        <w:t>o</w:t>
      </w:r>
      <w:r>
        <w:rPr>
          <w:rFonts w:hint="eastAsia" w:ascii="仿宋_GB2312" w:hAnsi="仿宋_GB2312" w:eastAsia="仿宋_GB2312" w:cs="仿宋_GB2312"/>
          <w:color w:val="auto"/>
          <w:spacing w:val="-2"/>
          <w:w w:val="100"/>
          <w:sz w:val="28"/>
          <w:szCs w:val="28"/>
        </w:rPr>
        <w:t>re</w:t>
      </w:r>
      <w:r>
        <w:rPr>
          <w:rFonts w:hint="eastAsia" w:ascii="仿宋_GB2312" w:hAnsi="仿宋_GB2312" w:eastAsia="仿宋_GB2312" w:cs="仿宋_GB2312"/>
          <w:color w:val="auto"/>
          <w:spacing w:val="-2"/>
          <w:w w:val="100"/>
          <w:sz w:val="28"/>
          <w:szCs w:val="28"/>
          <w:lang w:eastAsia="zh-CN"/>
        </w:rPr>
        <w:t>（</w:t>
      </w:r>
      <w:r>
        <w:rPr>
          <w:rFonts w:hint="eastAsia" w:ascii="仿宋_GB2312" w:hAnsi="仿宋_GB2312" w:eastAsia="仿宋_GB2312" w:cs="仿宋_GB2312"/>
          <w:color w:val="auto"/>
          <w:spacing w:val="-1"/>
          <w:w w:val="100"/>
          <w:sz w:val="28"/>
          <w:szCs w:val="28"/>
        </w:rPr>
        <w:t>四核</w:t>
      </w:r>
      <w:r>
        <w:rPr>
          <w:rFonts w:hint="eastAsia" w:ascii="仿宋_GB2312" w:hAnsi="仿宋_GB2312" w:eastAsia="仿宋_GB2312" w:cs="仿宋_GB2312"/>
          <w:color w:val="auto"/>
          <w:spacing w:val="-1"/>
          <w:w w:val="100"/>
          <w:sz w:val="28"/>
          <w:szCs w:val="28"/>
          <w:lang w:eastAsia="zh-CN"/>
        </w:rPr>
        <w:t>）</w:t>
      </w:r>
      <w:r>
        <w:rPr>
          <w:rFonts w:hint="eastAsia" w:ascii="仿宋_GB2312" w:hAnsi="仿宋_GB2312" w:eastAsia="仿宋_GB2312" w:cs="仿宋_GB2312"/>
          <w:color w:val="auto"/>
          <w:w w:val="100"/>
          <w:sz w:val="28"/>
          <w:szCs w:val="28"/>
        </w:rPr>
        <w:t>2</w:t>
      </w:r>
      <w:r>
        <w:rPr>
          <w:rFonts w:hint="eastAsia" w:ascii="仿宋_GB2312" w:hAnsi="仿宋_GB2312" w:eastAsia="仿宋_GB2312" w:cs="仿宋_GB2312"/>
          <w:color w:val="auto"/>
          <w:spacing w:val="-2"/>
          <w:w w:val="100"/>
          <w:sz w:val="28"/>
          <w:szCs w:val="28"/>
        </w:rPr>
        <w:t>.0</w:t>
      </w:r>
      <w:r>
        <w:rPr>
          <w:rFonts w:hint="eastAsia" w:ascii="仿宋_GB2312" w:hAnsi="仿宋_GB2312" w:eastAsia="仿宋_GB2312" w:cs="仿宋_GB2312"/>
          <w:color w:val="auto"/>
          <w:w w:val="100"/>
          <w:sz w:val="28"/>
          <w:szCs w:val="28"/>
        </w:rPr>
        <w:t>G</w:t>
      </w:r>
      <w:r>
        <w:rPr>
          <w:rFonts w:hint="eastAsia" w:ascii="仿宋_GB2312" w:hAnsi="仿宋_GB2312" w:eastAsia="仿宋_GB2312" w:cs="仿宋_GB2312"/>
          <w:color w:val="auto"/>
          <w:spacing w:val="-6"/>
          <w:sz w:val="28"/>
          <w:szCs w:val="28"/>
        </w:rPr>
        <w:t>以上；内存：</w:t>
      </w:r>
      <w:r>
        <w:rPr>
          <w:rFonts w:hint="eastAsia" w:ascii="仿宋_GB2312" w:hAnsi="仿宋_GB2312" w:eastAsia="仿宋_GB2312" w:cs="仿宋_GB2312"/>
          <w:color w:val="auto"/>
          <w:spacing w:val="-5"/>
          <w:sz w:val="28"/>
          <w:szCs w:val="28"/>
        </w:rPr>
        <w:t>32GB</w:t>
      </w:r>
      <w:r>
        <w:rPr>
          <w:rFonts w:hint="eastAsia" w:ascii="仿宋_GB2312" w:hAnsi="仿宋_GB2312" w:eastAsia="仿宋_GB2312" w:cs="仿宋_GB2312"/>
          <w:color w:val="auto"/>
          <w:spacing w:val="-16"/>
          <w:sz w:val="28"/>
          <w:szCs w:val="28"/>
        </w:rPr>
        <w:t>以上；硬盘：</w:t>
      </w:r>
      <w:r>
        <w:rPr>
          <w:rFonts w:hint="eastAsia" w:ascii="仿宋_GB2312" w:hAnsi="仿宋_GB2312" w:eastAsia="仿宋_GB2312" w:cs="仿宋_GB2312"/>
          <w:color w:val="auto"/>
          <w:spacing w:val="-10"/>
          <w:sz w:val="28"/>
          <w:szCs w:val="28"/>
        </w:rPr>
        <w:t>3</w:t>
      </w:r>
      <w:r>
        <w:rPr>
          <w:rFonts w:hint="eastAsia" w:ascii="仿宋_GB2312" w:hAnsi="仿宋_GB2312" w:eastAsia="仿宋_GB2312" w:cs="仿宋_GB2312"/>
          <w:color w:val="auto"/>
          <w:spacing w:val="-15"/>
          <w:sz w:val="28"/>
          <w:szCs w:val="28"/>
        </w:rPr>
        <w:t>块硬盘以上，每块容量</w:t>
      </w:r>
      <w:r>
        <w:rPr>
          <w:rFonts w:hint="eastAsia" w:ascii="仿宋_GB2312" w:hAnsi="仿宋_GB2312" w:eastAsia="仿宋_GB2312" w:cs="仿宋_GB2312"/>
          <w:color w:val="auto"/>
          <w:sz w:val="28"/>
          <w:szCs w:val="28"/>
        </w:rPr>
        <w:t>300G</w:t>
      </w:r>
      <w:r>
        <w:rPr>
          <w:rFonts w:hint="eastAsia" w:ascii="仿宋_GB2312" w:hAnsi="仿宋_GB2312" w:eastAsia="仿宋_GB2312" w:cs="仿宋_GB2312"/>
          <w:color w:val="auto"/>
          <w:spacing w:val="-18"/>
          <w:sz w:val="28"/>
          <w:szCs w:val="28"/>
        </w:rPr>
        <w:t>以上，</w:t>
      </w:r>
      <w:r>
        <w:rPr>
          <w:rFonts w:hint="eastAsia" w:ascii="仿宋_GB2312" w:hAnsi="仿宋_GB2312" w:eastAsia="仿宋_GB2312" w:cs="仿宋_GB2312"/>
          <w:color w:val="auto"/>
          <w:spacing w:val="11"/>
          <w:sz w:val="28"/>
          <w:szCs w:val="28"/>
        </w:rPr>
        <w:t>搭建成</w:t>
      </w:r>
      <w:r>
        <w:rPr>
          <w:rFonts w:hint="eastAsia" w:ascii="仿宋_GB2312" w:hAnsi="仿宋_GB2312" w:eastAsia="仿宋_GB2312" w:cs="仿宋_GB2312"/>
          <w:color w:val="auto"/>
          <w:spacing w:val="-3"/>
          <w:sz w:val="28"/>
          <w:szCs w:val="28"/>
        </w:rPr>
        <w:t>RAID5</w:t>
      </w:r>
      <w:r>
        <w:rPr>
          <w:rFonts w:hint="eastAsia" w:ascii="仿宋_GB2312" w:hAnsi="仿宋_GB2312" w:eastAsia="仿宋_GB2312" w:cs="仿宋_GB2312"/>
          <w:color w:val="auto"/>
          <w:spacing w:val="-5"/>
          <w:sz w:val="28"/>
          <w:szCs w:val="28"/>
        </w:rPr>
        <w:t>；网卡：千兆网卡；操作系统：</w:t>
      </w:r>
      <w:r>
        <w:rPr>
          <w:rFonts w:hint="eastAsia" w:ascii="仿宋_GB2312" w:hAnsi="仿宋_GB2312" w:eastAsia="仿宋_GB2312" w:cs="仿宋_GB2312"/>
          <w:color w:val="auto"/>
          <w:sz w:val="28"/>
          <w:szCs w:val="28"/>
        </w:rPr>
        <w:t>windows</w:t>
      </w:r>
      <w:r>
        <w:rPr>
          <w:rFonts w:hint="eastAsia" w:ascii="仿宋_GB2312" w:hAnsi="仿宋_GB2312" w:eastAsia="仿宋_GB2312" w:cs="仿宋_GB2312"/>
          <w:color w:val="auto"/>
          <w:spacing w:val="-72"/>
          <w:sz w:val="28"/>
          <w:szCs w:val="28"/>
        </w:rPr>
        <w:t xml:space="preserve"> </w:t>
      </w:r>
      <w:r>
        <w:rPr>
          <w:rFonts w:hint="eastAsia" w:ascii="仿宋_GB2312" w:hAnsi="仿宋_GB2312" w:eastAsia="仿宋_GB2312" w:cs="仿宋_GB2312"/>
          <w:color w:val="auto"/>
          <w:sz w:val="28"/>
          <w:szCs w:val="28"/>
        </w:rPr>
        <w:t>Server2008</w:t>
      </w:r>
      <w:r>
        <w:rPr>
          <w:rFonts w:hint="eastAsia" w:ascii="仿宋_GB2312" w:hAnsi="仿宋_GB2312" w:eastAsia="仿宋_GB2312" w:cs="仿宋_GB2312"/>
          <w:color w:val="auto"/>
          <w:spacing w:val="-70"/>
          <w:sz w:val="28"/>
          <w:szCs w:val="28"/>
        </w:rPr>
        <w:t xml:space="preserve"> </w:t>
      </w:r>
      <w:r>
        <w:rPr>
          <w:rFonts w:hint="eastAsia" w:ascii="仿宋_GB2312" w:hAnsi="仿宋_GB2312" w:eastAsia="仿宋_GB2312" w:cs="仿宋_GB2312"/>
          <w:color w:val="auto"/>
          <w:sz w:val="28"/>
          <w:szCs w:val="28"/>
        </w:rPr>
        <w:t>R2 64</w:t>
      </w:r>
      <w:r>
        <w:rPr>
          <w:rFonts w:hint="eastAsia" w:ascii="仿宋_GB2312" w:hAnsi="仿宋_GB2312" w:eastAsia="仿宋_GB2312" w:cs="仿宋_GB2312"/>
          <w:color w:val="auto"/>
          <w:spacing w:val="-2"/>
          <w:sz w:val="28"/>
          <w:szCs w:val="28"/>
        </w:rPr>
        <w:t xml:space="preserve"> 位，安装</w:t>
      </w:r>
      <w:r>
        <w:rPr>
          <w:rFonts w:hint="eastAsia" w:ascii="仿宋_GB2312" w:hAnsi="仿宋_GB2312" w:eastAsia="仿宋_GB2312" w:cs="仿宋_GB2312"/>
          <w:color w:val="auto"/>
          <w:sz w:val="28"/>
          <w:szCs w:val="28"/>
        </w:rPr>
        <w:t>IIS7.5</w:t>
      </w:r>
      <w:r>
        <w:rPr>
          <w:rFonts w:hint="eastAsia" w:ascii="仿宋_GB2312" w:hAnsi="仿宋_GB2312" w:eastAsia="仿宋_GB2312" w:cs="仿宋_GB2312"/>
          <w:color w:val="auto"/>
          <w:sz w:val="28"/>
          <w:szCs w:val="28"/>
          <w:lang w:eastAsia="zh-CN"/>
        </w:rPr>
        <w:t>。</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08"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13"/>
          <w:sz w:val="28"/>
          <w:szCs w:val="28"/>
          <w:lang w:val="en-US" w:eastAsia="zh-CN"/>
        </w:rPr>
        <w:t>2.</w:t>
      </w:r>
      <w:r>
        <w:rPr>
          <w:rFonts w:hint="eastAsia" w:ascii="仿宋_GB2312" w:hAnsi="仿宋_GB2312" w:eastAsia="仿宋_GB2312" w:cs="仿宋_GB2312"/>
          <w:color w:val="auto"/>
          <w:sz w:val="28"/>
          <w:szCs w:val="28"/>
          <w:lang w:eastAsia="zh-CN"/>
        </w:rPr>
        <w:t>客户端安装Win10及Google浏览器。</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right="0" w:rightChars="0" w:firstLine="556"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1"/>
          <w:sz w:val="28"/>
          <w:szCs w:val="28"/>
          <w:lang w:val="en-US" w:eastAsia="zh-CN"/>
        </w:rPr>
        <w:t>3.</w:t>
      </w:r>
      <w:r>
        <w:rPr>
          <w:rFonts w:hint="eastAsia" w:ascii="仿宋_GB2312" w:hAnsi="仿宋_GB2312" w:eastAsia="仿宋_GB2312" w:cs="仿宋_GB2312"/>
          <w:color w:val="auto"/>
          <w:spacing w:val="-1"/>
          <w:sz w:val="28"/>
          <w:szCs w:val="28"/>
        </w:rPr>
        <w:t>数据库：</w:t>
      </w:r>
      <w:r>
        <w:rPr>
          <w:rFonts w:hint="eastAsia" w:ascii="仿宋_GB2312" w:hAnsi="仿宋_GB2312" w:eastAsia="仿宋_GB2312" w:cs="仿宋_GB2312"/>
          <w:color w:val="auto"/>
          <w:sz w:val="28"/>
          <w:szCs w:val="28"/>
        </w:rPr>
        <w:t>windows</w:t>
      </w:r>
      <w:r>
        <w:rPr>
          <w:rFonts w:hint="eastAsia" w:ascii="仿宋_GB2312" w:hAnsi="仿宋_GB2312" w:eastAsia="仿宋_GB2312" w:cs="仿宋_GB2312"/>
          <w:color w:val="auto"/>
          <w:spacing w:val="-11"/>
          <w:sz w:val="28"/>
          <w:szCs w:val="28"/>
        </w:rPr>
        <w:t xml:space="preserve"> </w:t>
      </w:r>
      <w:r>
        <w:rPr>
          <w:rFonts w:hint="eastAsia" w:ascii="仿宋_GB2312" w:hAnsi="仿宋_GB2312" w:eastAsia="仿宋_GB2312" w:cs="仿宋_GB2312"/>
          <w:color w:val="auto"/>
          <w:sz w:val="28"/>
          <w:szCs w:val="28"/>
        </w:rPr>
        <w:t>Server2008</w:t>
      </w:r>
      <w:r>
        <w:rPr>
          <w:rFonts w:hint="eastAsia" w:ascii="仿宋_GB2312" w:hAnsi="仿宋_GB2312" w:eastAsia="仿宋_GB2312" w:cs="仿宋_GB2312"/>
          <w:color w:val="auto"/>
          <w:spacing w:val="-7"/>
          <w:sz w:val="28"/>
          <w:szCs w:val="28"/>
        </w:rPr>
        <w:t xml:space="preserve"> </w:t>
      </w:r>
      <w:r>
        <w:rPr>
          <w:rFonts w:hint="eastAsia" w:ascii="仿宋_GB2312" w:hAnsi="仿宋_GB2312" w:eastAsia="仿宋_GB2312" w:cs="仿宋_GB2312"/>
          <w:color w:val="auto"/>
          <w:sz w:val="28"/>
          <w:szCs w:val="28"/>
        </w:rPr>
        <w:t>R2</w:t>
      </w:r>
      <w:r>
        <w:rPr>
          <w:rFonts w:hint="eastAsia" w:ascii="仿宋_GB2312" w:hAnsi="仿宋_GB2312" w:eastAsia="仿宋_GB2312" w:cs="仿宋_GB2312"/>
          <w:color w:val="auto"/>
          <w:spacing w:val="-10"/>
          <w:sz w:val="28"/>
          <w:szCs w:val="28"/>
        </w:rPr>
        <w:t xml:space="preserve"> </w:t>
      </w:r>
      <w:r>
        <w:rPr>
          <w:rFonts w:hint="eastAsia" w:ascii="仿宋_GB2312" w:hAnsi="仿宋_GB2312" w:eastAsia="仿宋_GB2312" w:cs="仿宋_GB2312"/>
          <w:color w:val="auto"/>
          <w:sz w:val="28"/>
          <w:szCs w:val="28"/>
        </w:rPr>
        <w:t>64</w:t>
      </w:r>
      <w:r>
        <w:rPr>
          <w:rFonts w:hint="eastAsia" w:ascii="仿宋_GB2312" w:hAnsi="仿宋_GB2312" w:eastAsia="仿宋_GB2312" w:cs="仿宋_GB2312"/>
          <w:color w:val="auto"/>
          <w:spacing w:val="-17"/>
          <w:sz w:val="28"/>
          <w:szCs w:val="28"/>
        </w:rPr>
        <w:t xml:space="preserve"> 位；配备磁盘阵列</w:t>
      </w: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pacing w:val="-24"/>
          <w:sz w:val="28"/>
          <w:szCs w:val="28"/>
        </w:rPr>
        <w:t>台。</w:t>
      </w:r>
      <w:r>
        <w:rPr>
          <w:rFonts w:hint="eastAsia" w:ascii="仿宋_GB2312" w:hAnsi="仿宋_GB2312" w:eastAsia="仿宋_GB2312" w:cs="仿宋_GB2312"/>
          <w:color w:val="auto"/>
          <w:sz w:val="28"/>
          <w:szCs w:val="28"/>
        </w:rPr>
        <w:t>2个网口主机通道，支持热备份盘和后台RAID重建</w:t>
      </w:r>
      <w:r>
        <w:rPr>
          <w:rFonts w:hint="eastAsia" w:ascii="仿宋_GB2312" w:hAnsi="仿宋_GB2312" w:eastAsia="仿宋_GB2312" w:cs="仿宋_GB2312"/>
          <w:color w:val="auto"/>
          <w:sz w:val="28"/>
          <w:szCs w:val="28"/>
          <w:lang w:eastAsia="zh-CN"/>
        </w:rPr>
        <w:t>。</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56"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1"/>
          <w:sz w:val="28"/>
          <w:szCs w:val="28"/>
          <w:lang w:val="en-US" w:eastAsia="zh-CN"/>
        </w:rPr>
        <w:t>4.</w:t>
      </w:r>
      <w:r>
        <w:rPr>
          <w:rFonts w:hint="eastAsia" w:ascii="仿宋_GB2312" w:hAnsi="仿宋_GB2312" w:eastAsia="仿宋_GB2312" w:cs="仿宋_GB2312"/>
          <w:color w:val="auto"/>
          <w:spacing w:val="-1"/>
          <w:sz w:val="28"/>
          <w:szCs w:val="28"/>
        </w:rPr>
        <w:t>网络系统：</w:t>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pacing w:val="-6"/>
          <w:sz w:val="28"/>
          <w:szCs w:val="28"/>
        </w:rPr>
        <w:t>采用星形网络拓扑结构，安装</w:t>
      </w: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pacing w:val="-9"/>
          <w:sz w:val="28"/>
          <w:szCs w:val="28"/>
        </w:rPr>
        <w:t>台千兆核心交换机</w:t>
      </w:r>
      <w:r>
        <w:rPr>
          <w:rFonts w:hint="eastAsia" w:ascii="仿宋_GB2312" w:hAnsi="仿宋_GB2312" w:eastAsia="仿宋_GB2312" w:cs="仿宋_GB2312"/>
          <w:color w:val="auto"/>
          <w:spacing w:val="-3"/>
          <w:sz w:val="28"/>
          <w:szCs w:val="28"/>
        </w:rPr>
        <w:t>（</w:t>
      </w:r>
      <w:r>
        <w:rPr>
          <w:rFonts w:hint="eastAsia" w:ascii="仿宋_GB2312" w:hAnsi="仿宋_GB2312" w:eastAsia="仿宋_GB2312" w:cs="仿宋_GB2312"/>
          <w:color w:val="auto"/>
          <w:spacing w:val="-2"/>
          <w:sz w:val="28"/>
          <w:szCs w:val="28"/>
        </w:rPr>
        <w:t>双机模式</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pacing w:val="-34"/>
          <w:sz w:val="28"/>
          <w:szCs w:val="28"/>
        </w:rPr>
        <w:t>和</w:t>
      </w:r>
      <w:r>
        <w:rPr>
          <w:rFonts w:hint="eastAsia" w:ascii="仿宋_GB2312" w:hAnsi="仿宋_GB2312" w:eastAsia="仿宋_GB2312" w:cs="仿宋_GB2312"/>
          <w:color w:val="auto"/>
          <w:sz w:val="28"/>
          <w:szCs w:val="28"/>
        </w:rPr>
        <w:t>6</w:t>
      </w:r>
      <w:r>
        <w:rPr>
          <w:rFonts w:hint="eastAsia" w:ascii="仿宋_GB2312" w:hAnsi="仿宋_GB2312" w:eastAsia="仿宋_GB2312" w:cs="仿宋_GB2312"/>
          <w:color w:val="auto"/>
          <w:spacing w:val="-12"/>
          <w:sz w:val="28"/>
          <w:szCs w:val="28"/>
        </w:rPr>
        <w:t>台接入交换机</w:t>
      </w:r>
      <w:r>
        <w:rPr>
          <w:rFonts w:hint="eastAsia" w:ascii="仿宋_GB2312" w:hAnsi="仿宋_GB2312" w:eastAsia="仿宋_GB2312" w:cs="仿宋_GB2312"/>
          <w:color w:val="auto"/>
          <w:sz w:val="28"/>
          <w:szCs w:val="28"/>
        </w:rPr>
        <w:t>（48</w:t>
      </w:r>
      <w:r>
        <w:rPr>
          <w:rFonts w:hint="eastAsia" w:ascii="仿宋_GB2312" w:hAnsi="仿宋_GB2312" w:eastAsia="仿宋_GB2312" w:cs="仿宋_GB2312"/>
          <w:color w:val="auto"/>
          <w:spacing w:val="-34"/>
          <w:sz w:val="28"/>
          <w:szCs w:val="28"/>
        </w:rPr>
        <w:t>口</w:t>
      </w: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pacing w:val="-1"/>
          <w:sz w:val="28"/>
          <w:szCs w:val="28"/>
        </w:rPr>
        <w:t>采用地板，</w:t>
      </w:r>
      <w:r>
        <w:rPr>
          <w:rFonts w:hint="eastAsia" w:ascii="仿宋_GB2312" w:hAnsi="仿宋_GB2312" w:eastAsia="仿宋_GB2312" w:cs="仿宋_GB2312"/>
          <w:color w:val="auto"/>
          <w:spacing w:val="-6"/>
          <w:sz w:val="28"/>
          <w:szCs w:val="28"/>
        </w:rPr>
        <w:t>网线与电源线隐蔽铺设；</w:t>
      </w:r>
      <w:r>
        <w:rPr>
          <w:rFonts w:hint="eastAsia" w:ascii="仿宋_GB2312" w:hAnsi="仿宋_GB2312" w:eastAsia="仿宋_GB2312" w:cs="仿宋_GB2312"/>
          <w:color w:val="auto"/>
          <w:spacing w:val="-32"/>
          <w:sz w:val="28"/>
          <w:szCs w:val="28"/>
        </w:rPr>
        <w:t>（3）</w:t>
      </w:r>
      <w:r>
        <w:rPr>
          <w:rFonts w:hint="eastAsia" w:ascii="仿宋_GB2312" w:hAnsi="仿宋_GB2312" w:eastAsia="仿宋_GB2312" w:cs="仿宋_GB2312"/>
          <w:color w:val="auto"/>
          <w:spacing w:val="-12"/>
          <w:sz w:val="28"/>
          <w:szCs w:val="28"/>
        </w:rPr>
        <w:t>采用独立网络环境，不连接</w:t>
      </w:r>
      <w:r>
        <w:rPr>
          <w:rFonts w:hint="eastAsia" w:ascii="仿宋_GB2312" w:hAnsi="仿宋_GB2312" w:eastAsia="仿宋_GB2312" w:cs="仿宋_GB2312"/>
          <w:color w:val="auto"/>
          <w:sz w:val="28"/>
          <w:szCs w:val="28"/>
        </w:rPr>
        <w:t>INTERNET，</w:t>
      </w:r>
      <w:r>
        <w:rPr>
          <w:rFonts w:hint="eastAsia" w:ascii="仿宋_GB2312" w:hAnsi="仿宋_GB2312" w:eastAsia="仿宋_GB2312" w:cs="仿宋_GB2312"/>
          <w:color w:val="auto"/>
          <w:spacing w:val="-3"/>
          <w:sz w:val="28"/>
          <w:szCs w:val="28"/>
        </w:rPr>
        <w:t>禁止外部电脑接入</w:t>
      </w:r>
      <w:r>
        <w:rPr>
          <w:rFonts w:hint="eastAsia" w:ascii="仿宋_GB2312" w:hAnsi="仿宋_GB2312" w:eastAsia="仿宋_GB2312" w:cs="仿宋_GB2312"/>
          <w:color w:val="auto"/>
          <w:spacing w:val="-3"/>
          <w:sz w:val="28"/>
          <w:szCs w:val="28"/>
          <w:lang w:eastAsia="zh-CN"/>
        </w:rPr>
        <w:t>。</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12"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2"/>
          <w:sz w:val="28"/>
          <w:szCs w:val="28"/>
          <w:lang w:val="en-US" w:eastAsia="zh-CN"/>
        </w:rPr>
        <w:t>5.</w:t>
      </w:r>
      <w:r>
        <w:rPr>
          <w:rFonts w:hint="eastAsia" w:ascii="仿宋_GB2312" w:hAnsi="仿宋_GB2312" w:eastAsia="仿宋_GB2312" w:cs="仿宋_GB2312"/>
          <w:color w:val="auto"/>
          <w:spacing w:val="-12"/>
          <w:sz w:val="28"/>
          <w:szCs w:val="28"/>
        </w:rPr>
        <w:t>视频采集与发布：赛场配置无盲点录像设备，实时录制和显示</w:t>
      </w:r>
      <w:r>
        <w:rPr>
          <w:rFonts w:hint="eastAsia" w:ascii="仿宋_GB2312" w:hAnsi="仿宋_GB2312" w:eastAsia="仿宋_GB2312" w:cs="仿宋_GB2312"/>
          <w:color w:val="auto"/>
          <w:spacing w:val="-2"/>
          <w:sz w:val="28"/>
          <w:szCs w:val="28"/>
        </w:rPr>
        <w:t>赛场内竞赛情况。</w:t>
      </w:r>
    </w:p>
    <w:p>
      <w:pPr>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546" w:firstLineChars="200"/>
        <w:jc w:val="left"/>
        <w:textAlignment w:val="auto"/>
        <w:outlineLvl w:val="9"/>
        <w:rPr>
          <w:rFonts w:hint="eastAsia" w:ascii="楷体" w:hAnsi="楷体" w:eastAsia="楷体" w:cs="楷体"/>
          <w:b/>
          <w:bCs/>
          <w:color w:val="auto"/>
          <w:spacing w:val="-4"/>
          <w:sz w:val="28"/>
          <w:szCs w:val="28"/>
          <w:highlight w:val="none"/>
        </w:rPr>
      </w:pPr>
      <w:r>
        <w:rPr>
          <w:rFonts w:hint="eastAsia" w:ascii="楷体" w:hAnsi="楷体" w:eastAsia="楷体" w:cs="楷体"/>
          <w:b/>
          <w:bCs/>
          <w:color w:val="auto"/>
          <w:spacing w:val="-4"/>
          <w:sz w:val="28"/>
          <w:szCs w:val="28"/>
          <w:highlight w:val="none"/>
        </w:rPr>
        <w:t>（二）其他设备</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16"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11"/>
          <w:sz w:val="28"/>
          <w:szCs w:val="28"/>
          <w:lang w:val="en-US" w:eastAsia="zh-CN"/>
        </w:rPr>
        <w:t>1.</w:t>
      </w:r>
      <w:r>
        <w:rPr>
          <w:rFonts w:hint="eastAsia" w:ascii="仿宋_GB2312" w:hAnsi="仿宋_GB2312" w:eastAsia="仿宋_GB2312" w:cs="仿宋_GB2312"/>
          <w:color w:val="auto"/>
          <w:spacing w:val="-11"/>
          <w:sz w:val="28"/>
          <w:szCs w:val="28"/>
        </w:rPr>
        <w:t>技术服务设备：赛场配置服务器及网络设备，为赛项提供网络</w:t>
      </w:r>
      <w:r>
        <w:rPr>
          <w:rFonts w:hint="eastAsia" w:ascii="仿宋_GB2312" w:hAnsi="仿宋_GB2312" w:eastAsia="仿宋_GB2312" w:cs="仿宋_GB2312"/>
          <w:color w:val="auto"/>
          <w:spacing w:val="-1"/>
          <w:sz w:val="28"/>
          <w:szCs w:val="28"/>
        </w:rPr>
        <w:t>平台技术支持</w:t>
      </w:r>
      <w:r>
        <w:rPr>
          <w:rFonts w:hint="eastAsia" w:ascii="仿宋_GB2312" w:hAnsi="仿宋_GB2312" w:eastAsia="仿宋_GB2312" w:cs="仿宋_GB2312"/>
          <w:color w:val="auto"/>
          <w:spacing w:val="-1"/>
          <w:sz w:val="28"/>
          <w:szCs w:val="28"/>
          <w:lang w:eastAsia="zh-CN"/>
        </w:rPr>
        <w:t>。</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60"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LED</w:t>
      </w:r>
      <w:r>
        <w:rPr>
          <w:rFonts w:hint="eastAsia" w:ascii="仿宋_GB2312" w:hAnsi="仿宋_GB2312" w:eastAsia="仿宋_GB2312" w:cs="仿宋_GB2312"/>
          <w:color w:val="auto"/>
          <w:spacing w:val="-15"/>
          <w:sz w:val="28"/>
          <w:szCs w:val="28"/>
        </w:rPr>
        <w:t>大屏幕显示屏：赛场内设置</w:t>
      </w:r>
      <w:r>
        <w:rPr>
          <w:rFonts w:hint="eastAsia" w:ascii="仿宋_GB2312" w:hAnsi="仿宋_GB2312" w:eastAsia="仿宋_GB2312" w:cs="仿宋_GB2312"/>
          <w:color w:val="auto"/>
          <w:sz w:val="28"/>
          <w:szCs w:val="28"/>
        </w:rPr>
        <w:t>LED</w:t>
      </w:r>
      <w:r>
        <w:rPr>
          <w:rFonts w:hint="eastAsia" w:ascii="仿宋_GB2312" w:hAnsi="仿宋_GB2312" w:eastAsia="仿宋_GB2312" w:cs="仿宋_GB2312"/>
          <w:color w:val="auto"/>
          <w:spacing w:val="-35"/>
          <w:sz w:val="28"/>
          <w:szCs w:val="28"/>
        </w:rPr>
        <w:t>大屏</w:t>
      </w:r>
      <w:r>
        <w:rPr>
          <w:rFonts w:hint="eastAsia" w:ascii="仿宋_GB2312" w:hAnsi="仿宋_GB2312" w:eastAsia="仿宋_GB2312" w:cs="仿宋_GB2312"/>
          <w:color w:val="auto"/>
          <w:spacing w:val="-35"/>
          <w:sz w:val="28"/>
          <w:szCs w:val="28"/>
          <w:lang w:val="en-US" w:eastAsia="zh-CN"/>
        </w:rPr>
        <w:t>1</w:t>
      </w:r>
      <w:r>
        <w:rPr>
          <w:rFonts w:hint="eastAsia" w:ascii="仿宋_GB2312" w:hAnsi="仿宋_GB2312" w:eastAsia="仿宋_GB2312" w:cs="仿宋_GB2312"/>
          <w:color w:val="auto"/>
          <w:spacing w:val="-13"/>
          <w:sz w:val="28"/>
          <w:szCs w:val="28"/>
        </w:rPr>
        <w:t>块，实时滚动显示</w:t>
      </w:r>
      <w:r>
        <w:rPr>
          <w:rFonts w:hint="eastAsia" w:ascii="仿宋_GB2312" w:hAnsi="仿宋_GB2312" w:eastAsia="仿宋_GB2312" w:cs="仿宋_GB2312"/>
          <w:color w:val="auto"/>
          <w:spacing w:val="-8"/>
          <w:sz w:val="28"/>
          <w:szCs w:val="28"/>
        </w:rPr>
        <w:t>赛场实况及竞赛成绩</w:t>
      </w:r>
      <w:r>
        <w:rPr>
          <w:rFonts w:hint="eastAsia" w:ascii="仿宋_GB2312" w:hAnsi="仿宋_GB2312" w:eastAsia="仿宋_GB2312" w:cs="仿宋_GB2312"/>
          <w:color w:val="auto"/>
          <w:spacing w:val="-8"/>
          <w:sz w:val="28"/>
          <w:szCs w:val="28"/>
          <w:lang w:eastAsia="zh-CN"/>
        </w:rPr>
        <w:t>。</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48" w:firstLineChars="200"/>
        <w:jc w:val="both"/>
        <w:textAlignment w:val="auto"/>
        <w:outlineLvl w:val="9"/>
        <w:rPr>
          <w:rFonts w:hint="eastAsia" w:ascii="仿宋_GB2312" w:hAnsi="仿宋_GB2312" w:eastAsia="仿宋_GB2312" w:cs="仿宋_GB2312"/>
          <w:color w:val="auto"/>
          <w:spacing w:val="-8"/>
          <w:sz w:val="28"/>
          <w:szCs w:val="28"/>
          <w:lang w:val="en-US" w:eastAsia="zh-CN"/>
        </w:rPr>
      </w:pPr>
      <w:r>
        <w:rPr>
          <w:rFonts w:hint="eastAsia" w:ascii="仿宋_GB2312" w:hAnsi="仿宋_GB2312" w:eastAsia="仿宋_GB2312" w:cs="仿宋_GB2312"/>
          <w:color w:val="auto"/>
          <w:spacing w:val="-3"/>
          <w:sz w:val="28"/>
          <w:szCs w:val="28"/>
          <w:lang w:val="en-US" w:eastAsia="zh-CN"/>
        </w:rPr>
        <w:t>3.</w:t>
      </w:r>
      <w:r>
        <w:rPr>
          <w:rFonts w:hint="eastAsia" w:ascii="仿宋_GB2312" w:hAnsi="仿宋_GB2312" w:eastAsia="仿宋_GB2312" w:cs="仿宋_GB2312"/>
          <w:color w:val="auto"/>
          <w:spacing w:val="-3"/>
          <w:sz w:val="28"/>
          <w:szCs w:val="28"/>
        </w:rPr>
        <w:t>显示屏：为裁判席配置监视屏，为展示和体验区配置显示屏</w:t>
      </w:r>
      <w:r>
        <w:rPr>
          <w:rFonts w:hint="eastAsia" w:ascii="仿宋_GB2312" w:hAnsi="仿宋_GB2312" w:eastAsia="仿宋_GB2312" w:cs="仿宋_GB2312"/>
          <w:color w:val="auto"/>
          <w:spacing w:val="-3"/>
          <w:sz w:val="28"/>
          <w:szCs w:val="28"/>
          <w:lang w:eastAsia="zh-CN"/>
        </w:rPr>
        <w:t>。</w:t>
      </w:r>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28"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lang w:val="en-US" w:eastAsia="zh-CN"/>
        </w:rPr>
        <w:t>4.</w:t>
      </w:r>
      <w:r>
        <w:rPr>
          <w:rFonts w:hint="eastAsia" w:ascii="仿宋_GB2312" w:hAnsi="仿宋_GB2312" w:eastAsia="仿宋_GB2312" w:cs="仿宋_GB2312"/>
          <w:color w:val="auto"/>
          <w:spacing w:val="-8"/>
          <w:sz w:val="28"/>
          <w:szCs w:val="28"/>
        </w:rPr>
        <w:t>竞赛所需个人计算机数量为</w:t>
      </w:r>
      <w:r>
        <w:rPr>
          <w:rFonts w:hint="eastAsia" w:ascii="仿宋_GB2312" w:hAnsi="仿宋_GB2312" w:eastAsia="仿宋_GB2312" w:cs="仿宋_GB2312"/>
          <w:color w:val="auto"/>
          <w:sz w:val="28"/>
          <w:szCs w:val="28"/>
          <w:lang w:val="en-US" w:eastAsia="zh-CN"/>
        </w:rPr>
        <w:t>400</w:t>
      </w:r>
      <w:r>
        <w:rPr>
          <w:rFonts w:hint="eastAsia" w:ascii="仿宋_GB2312" w:hAnsi="仿宋_GB2312" w:eastAsia="仿宋_GB2312" w:cs="仿宋_GB2312"/>
          <w:color w:val="auto"/>
          <w:spacing w:val="-15"/>
          <w:sz w:val="28"/>
          <w:szCs w:val="28"/>
        </w:rPr>
        <w:t>台左右，可利用承办院校现有</w:t>
      </w:r>
      <w:r>
        <w:rPr>
          <w:rFonts w:hint="eastAsia" w:ascii="仿宋_GB2312" w:hAnsi="仿宋_GB2312" w:eastAsia="仿宋_GB2312" w:cs="仿宋_GB2312"/>
          <w:color w:val="auto"/>
          <w:spacing w:val="-11"/>
          <w:sz w:val="28"/>
          <w:szCs w:val="28"/>
        </w:rPr>
        <w:t>计算机设备或重新采购，相关配置要求应符合竞赛平台使用要求。其</w:t>
      </w:r>
      <w:r>
        <w:rPr>
          <w:rFonts w:hint="eastAsia" w:ascii="仿宋_GB2312" w:hAnsi="仿宋_GB2312" w:eastAsia="仿宋_GB2312" w:cs="仿宋_GB2312"/>
          <w:color w:val="auto"/>
          <w:spacing w:val="-3"/>
          <w:sz w:val="28"/>
          <w:szCs w:val="28"/>
          <w:lang w:val="en-US" w:eastAsia="zh-CN"/>
        </w:rPr>
        <w:t>他</w:t>
      </w:r>
      <w:r>
        <w:rPr>
          <w:rFonts w:hint="eastAsia" w:ascii="仿宋_GB2312" w:hAnsi="仿宋_GB2312" w:eastAsia="仿宋_GB2312" w:cs="仿宋_GB2312"/>
          <w:color w:val="auto"/>
          <w:spacing w:val="-3"/>
          <w:sz w:val="28"/>
          <w:szCs w:val="28"/>
        </w:rPr>
        <w:t>相关器材包括练功卷、传票本、计算器等，具体要求如下：</w:t>
      </w:r>
    </w:p>
    <w:tbl>
      <w:tblPr>
        <w:tblStyle w:val="16"/>
        <w:tblW w:w="8071"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6"/>
        <w:gridCol w:w="1067"/>
        <w:gridCol w:w="5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器材类型</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数量</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硬件配置要求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金融计算器</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120个</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lang w:eastAsia="zh-CN"/>
              </w:rPr>
            </w:pPr>
            <w:r>
              <w:rPr>
                <w:rFonts w:hint="eastAsia" w:ascii="仿宋_GB2312" w:hAnsi="仿宋_GB2312" w:eastAsia="仿宋_GB2312" w:cs="仿宋_GB2312"/>
                <w:b w:val="0"/>
                <w:bCs/>
                <w:color w:val="auto"/>
                <w:sz w:val="24"/>
                <w:szCs w:val="24"/>
              </w:rPr>
              <w:t>理财经理岗位专用</w:t>
            </w: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rPr>
              <w:t>德州仪器TI BA II plus</w:t>
            </w:r>
            <w:r>
              <w:rPr>
                <w:rFonts w:hint="eastAsia" w:ascii="仿宋_GB2312" w:hAnsi="仿宋_GB2312" w:eastAsia="仿宋_GB2312" w:cs="仿宋_GB2312"/>
                <w:b w:val="0"/>
                <w:bCs/>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计算器</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450</w:t>
            </w:r>
            <w:r>
              <w:rPr>
                <w:rFonts w:hint="eastAsia" w:ascii="仿宋_GB2312" w:hAnsi="仿宋_GB2312" w:eastAsia="仿宋_GB2312" w:cs="仿宋_GB2312"/>
                <w:b w:val="0"/>
                <w:bCs/>
                <w:color w:val="auto"/>
                <w:sz w:val="24"/>
                <w:szCs w:val="24"/>
              </w:rPr>
              <w:t>个</w:t>
            </w:r>
          </w:p>
        </w:tc>
        <w:tc>
          <w:tcPr>
            <w:tcW w:w="505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财会用计算器</w:t>
            </w:r>
            <w:r>
              <w:rPr>
                <w:rFonts w:hint="eastAsia" w:ascii="仿宋_GB2312" w:hAnsi="仿宋_GB2312" w:eastAsia="仿宋_GB2312" w:cs="仿宋_GB2312"/>
                <w:b w:val="0"/>
                <w:bCs/>
                <w:color w:val="auto"/>
                <w:sz w:val="24"/>
                <w:szCs w:val="24"/>
                <w:lang w:val="en-US" w:eastAsia="zh-CN" w:bidi="zh-CN"/>
              </w:rPr>
              <w:t>（夏普EL-2135）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竞赛专用练功券</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450</w:t>
            </w:r>
            <w:r>
              <w:rPr>
                <w:rFonts w:hint="eastAsia" w:ascii="仿宋_GB2312" w:hAnsi="仿宋_GB2312" w:eastAsia="仿宋_GB2312" w:cs="仿宋_GB2312"/>
                <w:b w:val="0"/>
                <w:bCs/>
                <w:color w:val="auto"/>
                <w:sz w:val="24"/>
                <w:szCs w:val="24"/>
              </w:rPr>
              <w:t>套</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每套分8种面额包括100元、50元、20元、10元、5元、2元、1元、5角各4捆，每捆100张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both"/>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竞赛专用百张对角传票本</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每种</w:t>
            </w:r>
            <w:r>
              <w:rPr>
                <w:rFonts w:hint="eastAsia" w:ascii="仿宋_GB2312" w:hAnsi="仿宋_GB2312" w:eastAsia="仿宋_GB2312" w:cs="仿宋_GB2312"/>
                <w:b w:val="0"/>
                <w:bCs/>
                <w:color w:val="auto"/>
                <w:sz w:val="24"/>
                <w:szCs w:val="24"/>
                <w:lang w:val="en-US" w:eastAsia="zh-CN"/>
              </w:rPr>
              <w:t>450</w:t>
            </w:r>
            <w:r>
              <w:rPr>
                <w:rFonts w:hint="eastAsia" w:ascii="仿宋_GB2312" w:hAnsi="仿宋_GB2312" w:eastAsia="仿宋_GB2312" w:cs="仿宋_GB2312"/>
                <w:b w:val="0"/>
                <w:bCs/>
                <w:color w:val="auto"/>
                <w:sz w:val="24"/>
                <w:szCs w:val="24"/>
              </w:rPr>
              <w:t>本</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根据竞赛抽取的型号配备（包括AB/CD/EF/</w:t>
            </w:r>
            <w:r>
              <w:rPr>
                <w:rFonts w:hint="eastAsia" w:ascii="仿宋_GB2312" w:hAnsi="仿宋_GB2312" w:eastAsia="仿宋_GB2312" w:cs="仿宋_GB2312"/>
                <w:b w:val="0"/>
                <w:bCs/>
                <w:color w:val="auto"/>
                <w:sz w:val="24"/>
                <w:szCs w:val="24"/>
                <w:lang w:val="en-US" w:eastAsia="zh-CN"/>
              </w:rPr>
              <w:t>GH/IJ/KL</w:t>
            </w:r>
            <w:r>
              <w:rPr>
                <w:rFonts w:hint="eastAsia" w:ascii="仿宋_GB2312" w:hAnsi="仿宋_GB2312" w:eastAsia="仿宋_GB2312" w:cs="仿宋_GB2312"/>
                <w:b w:val="0"/>
                <w:bCs/>
                <w:color w:val="auto"/>
                <w:sz w:val="24"/>
                <w:szCs w:val="24"/>
              </w:rPr>
              <w:t>六种类型）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收纳框</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450</w:t>
            </w:r>
            <w:r>
              <w:rPr>
                <w:rFonts w:hint="eastAsia" w:ascii="仿宋_GB2312" w:hAnsi="仿宋_GB2312" w:eastAsia="仿宋_GB2312" w:cs="仿宋_GB2312"/>
                <w:b w:val="0"/>
                <w:bCs/>
                <w:color w:val="auto"/>
                <w:sz w:val="24"/>
                <w:szCs w:val="24"/>
              </w:rPr>
              <w:t>个</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38*26*8（长*宽*高）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点钞油、点钞蜡、海绵池、扎把印章</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450</w:t>
            </w:r>
            <w:r>
              <w:rPr>
                <w:rFonts w:hint="eastAsia" w:ascii="仿宋_GB2312" w:hAnsi="仿宋_GB2312" w:eastAsia="仿宋_GB2312" w:cs="仿宋_GB2312"/>
                <w:b w:val="0"/>
                <w:bCs/>
                <w:color w:val="auto"/>
                <w:sz w:val="24"/>
                <w:szCs w:val="24"/>
              </w:rPr>
              <w:t>套</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点钞专用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946"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捆钞条</w:t>
            </w:r>
          </w:p>
        </w:tc>
        <w:tc>
          <w:tcPr>
            <w:tcW w:w="106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25</w:t>
            </w:r>
            <w:r>
              <w:rPr>
                <w:rFonts w:hint="eastAsia" w:ascii="仿宋_GB2312" w:hAnsi="仿宋_GB2312" w:eastAsia="仿宋_GB2312" w:cs="仿宋_GB2312"/>
                <w:b w:val="0"/>
                <w:bCs/>
                <w:color w:val="auto"/>
                <w:sz w:val="24"/>
                <w:szCs w:val="24"/>
              </w:rPr>
              <w:t>箱</w:t>
            </w:r>
          </w:p>
        </w:tc>
        <w:tc>
          <w:tcPr>
            <w:tcW w:w="5058"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常用尺寸：52*2CM,30*2CM</w:t>
            </w:r>
          </w:p>
        </w:tc>
      </w:tr>
    </w:tbl>
    <w:p>
      <w:pPr>
        <w:numPr>
          <w:ilvl w:val="-1"/>
          <w:numId w:val="0"/>
        </w:numPr>
        <w:spacing w:before="156" w:beforeLines="50" w:after="156" w:afterLines="50"/>
        <w:ind w:left="420" w:leftChars="200" w:firstLine="0" w:firstLineChars="0"/>
        <w:outlineLvl w:val="0"/>
        <w:rPr>
          <w:rFonts w:hint="eastAsia" w:ascii="黑体" w:eastAsia="黑体"/>
          <w:sz w:val="32"/>
          <w:szCs w:val="32"/>
        </w:rPr>
      </w:pPr>
      <w:r>
        <w:rPr>
          <w:rFonts w:hint="eastAsia" w:ascii="黑体" w:eastAsia="黑体"/>
          <w:sz w:val="32"/>
          <w:szCs w:val="32"/>
          <w:lang w:val="en-US" w:eastAsia="zh-CN"/>
        </w:rPr>
        <w:t>九、</w:t>
      </w:r>
      <w:r>
        <w:rPr>
          <w:rFonts w:hint="eastAsia" w:ascii="黑体" w:eastAsia="黑体"/>
          <w:sz w:val="32"/>
          <w:szCs w:val="32"/>
        </w:rPr>
        <w:t>竞赛样题</w:t>
      </w:r>
    </w:p>
    <w:p>
      <w:pPr>
        <w:pStyle w:val="10"/>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548"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本赛项竞赛试题采用赛题库方式，赛题由专家出题并审核确定。</w:t>
      </w:r>
      <w:r>
        <w:rPr>
          <w:rFonts w:hint="eastAsia" w:ascii="仿宋_GB2312" w:hAnsi="仿宋_GB2312" w:eastAsia="仿宋_GB2312" w:cs="仿宋_GB2312"/>
          <w:color w:val="auto"/>
          <w:spacing w:val="-21"/>
          <w:sz w:val="28"/>
          <w:szCs w:val="28"/>
        </w:rPr>
        <w:t>于开赛</w:t>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pacing w:val="-16"/>
          <w:sz w:val="28"/>
          <w:szCs w:val="28"/>
        </w:rPr>
        <w:t>个月前，在大赛信息发布平台上</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"http://www.chinaskills-jsw.org/"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www.chinaskills-jsw.org</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pacing w:val="-11"/>
          <w:sz w:val="28"/>
          <w:szCs w:val="28"/>
        </w:rPr>
        <w:t>发布赛题库，并将发布信息上报大赛执委会办公室。正式竞赛赛卷于</w:t>
      </w:r>
      <w:r>
        <w:rPr>
          <w:rFonts w:hint="eastAsia" w:ascii="仿宋_GB2312" w:hAnsi="仿宋_GB2312" w:eastAsia="仿宋_GB2312" w:cs="仿宋_GB2312"/>
          <w:color w:val="auto"/>
          <w:spacing w:val="-9"/>
          <w:sz w:val="28"/>
          <w:szCs w:val="28"/>
        </w:rPr>
        <w:t>比赛前在监督组的监督下，由裁判长指定相关人员抽取，竞赛结束后</w:t>
      </w:r>
      <w:r>
        <w:rPr>
          <w:rFonts w:hint="eastAsia" w:ascii="仿宋_GB2312" w:hAnsi="仿宋_GB2312" w:eastAsia="仿宋_GB2312" w:cs="仿宋_GB2312"/>
          <w:color w:val="auto"/>
          <w:spacing w:val="-6"/>
          <w:sz w:val="28"/>
          <w:szCs w:val="28"/>
        </w:rPr>
        <w:t>一周内，正式赛卷</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pacing w:val="-2"/>
          <w:sz w:val="28"/>
          <w:szCs w:val="28"/>
        </w:rPr>
        <w:t>包括评分标准</w:t>
      </w:r>
      <w:r>
        <w:rPr>
          <w:rFonts w:hint="eastAsia" w:ascii="仿宋_GB2312" w:hAnsi="仿宋_GB2312" w:eastAsia="仿宋_GB2312" w:cs="仿宋_GB2312"/>
          <w:color w:val="auto"/>
          <w:spacing w:val="-3"/>
          <w:sz w:val="28"/>
          <w:szCs w:val="28"/>
        </w:rPr>
        <w:t>）通过大赛网络信息发布平台</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"http://www.chinaskills-jsw.org/"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www.chinaskills-jsw.org</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）公布。样题如下：</w:t>
      </w:r>
    </w:p>
    <w:p>
      <w:pPr>
        <w:pStyle w:val="10"/>
        <w:keepNext w:val="0"/>
        <w:keepLines w:val="0"/>
        <w:pageBreakBefore w:val="0"/>
        <w:widowControl w:val="0"/>
        <w:kinsoku/>
        <w:wordWrap/>
        <w:overflowPunct/>
        <w:topLinePunct w:val="0"/>
        <w:autoSpaceDE w:val="0"/>
        <w:autoSpaceDN w:val="0"/>
        <w:bidi w:val="0"/>
        <w:adjustRightInd w:val="0"/>
        <w:snapToGrid w:val="0"/>
        <w:spacing w:line="360" w:lineRule="auto"/>
        <w:ind w:right="0" w:firstLine="546" w:firstLineChars="200"/>
        <w:jc w:val="both"/>
        <w:textAlignment w:val="auto"/>
        <w:outlineLvl w:val="1"/>
        <w:rPr>
          <w:rFonts w:hint="eastAsia" w:ascii="仿宋_GB2312" w:hAnsi="仿宋_GB2312" w:eastAsia="仿宋_GB2312" w:cs="仿宋_GB2312"/>
          <w:b/>
          <w:bCs/>
          <w:color w:val="auto"/>
          <w:sz w:val="28"/>
          <w:szCs w:val="28"/>
        </w:rPr>
      </w:pPr>
      <w:r>
        <w:rPr>
          <w:rFonts w:hint="eastAsia" w:ascii="楷体" w:hAnsi="楷体" w:eastAsia="楷体" w:cs="楷体"/>
          <w:b/>
          <w:bCs/>
          <w:color w:val="auto"/>
          <w:spacing w:val="-4"/>
          <w:sz w:val="28"/>
          <w:szCs w:val="28"/>
          <w:highlight w:val="none"/>
        </w:rPr>
        <w:t>（一）</w:t>
      </w:r>
      <w:r>
        <w:rPr>
          <w:rFonts w:hint="eastAsia" w:ascii="楷体" w:hAnsi="楷体" w:eastAsia="楷体" w:cs="楷体"/>
          <w:b/>
          <w:bCs/>
          <w:color w:val="auto"/>
          <w:spacing w:val="-4"/>
          <w:sz w:val="28"/>
          <w:szCs w:val="28"/>
          <w:highlight w:val="none"/>
          <w:lang w:val="en-US" w:eastAsia="zh-CN"/>
        </w:rPr>
        <w:t>金融职业素养</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1"/>
        <w:rPr>
          <w:rFonts w:hint="eastAsia" w:ascii="仿宋_GB2312" w:hAnsi="仿宋_GB2312" w:eastAsia="仿宋_GB2312" w:cs="仿宋_GB2312"/>
          <w:b/>
          <w:bCs/>
          <w:color w:val="auto"/>
          <w:sz w:val="28"/>
          <w:szCs w:val="28"/>
        </w:rPr>
      </w:pPr>
      <w:r>
        <w:rPr>
          <w:rFonts w:hint="default" w:ascii="仿宋_GB2312" w:hAnsi="仿宋_GB2312" w:eastAsia="仿宋_GB2312" w:cs="仿宋_GB2312"/>
          <w:b/>
          <w:bCs/>
          <w:color w:val="auto"/>
          <w:sz w:val="28"/>
          <w:szCs w:val="28"/>
          <w:lang w:val="en-US" w:eastAsia="zh-CN"/>
        </w:rPr>
        <w:t>1.</w:t>
      </w:r>
      <w:r>
        <w:rPr>
          <w:rFonts w:hint="default" w:ascii="仿宋_GB2312" w:hAnsi="仿宋_GB2312" w:eastAsia="仿宋_GB2312" w:cs="仿宋_GB2312"/>
          <w:b/>
          <w:bCs/>
          <w:color w:val="auto"/>
          <w:sz w:val="28"/>
          <w:szCs w:val="28"/>
        </w:rPr>
        <w:t>业务素养</w:t>
      </w:r>
    </w:p>
    <w:p>
      <w:pPr>
        <w:adjustRightInd w:val="0"/>
        <w:snapToGrid w:val="0"/>
        <w:spacing w:line="360" w:lineRule="auto"/>
        <w:ind w:firstLine="482" w:firstLineChars="200"/>
        <w:jc w:val="both"/>
        <w:rPr>
          <w:rFonts w:hint="eastAsia"/>
          <w:b/>
          <w:color w:val="000000"/>
          <w:sz w:val="24"/>
          <w:szCs w:val="24"/>
          <w:lang w:val="en-US"/>
        </w:rPr>
      </w:pPr>
      <w:r>
        <w:rPr>
          <w:rFonts w:hint="eastAsia"/>
          <w:b/>
          <w:color w:val="000000"/>
          <w:sz w:val="24"/>
          <w:szCs w:val="24"/>
          <w:lang w:val="en-US" w:eastAsia="zh-CN"/>
        </w:rPr>
        <w:t>（1）</w:t>
      </w:r>
      <w:r>
        <w:rPr>
          <w:rFonts w:hint="eastAsia"/>
          <w:b/>
          <w:color w:val="000000"/>
          <w:sz w:val="24"/>
          <w:szCs w:val="24"/>
          <w:lang w:val="en-US"/>
        </w:rPr>
        <w:t>单选题</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2104"/>
        <w:gridCol w:w="779"/>
        <w:gridCol w:w="1218"/>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1234" w:type="pct"/>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cs="仿宋_GB2312"/>
                <w:sz w:val="24"/>
                <w:szCs w:val="24"/>
              </w:rPr>
              <w:t>智慧金融</w:t>
            </w:r>
          </w:p>
        </w:tc>
        <w:tc>
          <w:tcPr>
            <w:tcW w:w="1172"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986" w:type="pct"/>
            <w:noWrap w:val="0"/>
            <w:vAlign w:val="center"/>
          </w:tcPr>
          <w:p>
            <w:pPr>
              <w:pStyle w:val="10"/>
              <w:ind w:left="0" w:leftChars="0" w:firstLine="0" w:firstLineChars="0"/>
              <w:jc w:val="center"/>
              <w:rPr>
                <w:rFonts w:hint="eastAsia" w:ascii="仿宋" w:hAnsi="仿宋" w:eastAsia="仿宋" w:cs="仿宋_GB2312"/>
              </w:rPr>
            </w:pPr>
            <w:r>
              <w:rPr>
                <w:rFonts w:hint="eastAsia" w:ascii="仿宋" w:hAnsi="仿宋" w:eastAsia="仿宋" w:cs="仿宋_GB2312"/>
                <w:sz w:val="24"/>
                <w:szCs w:val="24"/>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1234"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cs="仿宋_GB2312"/>
                <w:sz w:val="24"/>
                <w:szCs w:val="24"/>
                <w:lang w:eastAsia="zh-CN"/>
              </w:rPr>
              <w:t>GZ044</w:t>
            </w:r>
          </w:p>
        </w:tc>
        <w:tc>
          <w:tcPr>
            <w:tcW w:w="1172" w:type="pct"/>
            <w:gridSpan w:val="2"/>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986"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cs="仿宋_GB2312"/>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41"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2158"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41"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c>
          <w:tcPr>
            <w:tcW w:w="2158"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41"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2158"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1692" w:type="pct"/>
            <w:gridSpan w:val="2"/>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713"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986" w:type="pct"/>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1.充分就业的宏观经济衡量指标是失业率，我国统计部门公布的失业率为（</w:t>
            </w:r>
            <w:r>
              <w:rPr>
                <w:rFonts w:hint="eastAsia" w:ascii="仿宋" w:hAnsi="仿宋" w:eastAsia="仿宋" w:cs="宋体"/>
                <w:sz w:val="24"/>
                <w:szCs w:val="24"/>
                <w:lang w:val="en-US" w:eastAsia="zh-CN"/>
              </w:rPr>
              <w:t xml:space="preserve">  </w:t>
            </w:r>
            <w:r>
              <w:rPr>
                <w:rFonts w:hint="eastAsia" w:ascii="仿宋" w:hAnsi="仿宋" w:eastAsia="仿宋" w:cs="宋体"/>
                <w:sz w:val="24"/>
                <w:szCs w:val="24"/>
              </w:rPr>
              <w:t>）。</w:t>
            </w:r>
          </w:p>
        </w:tc>
        <w:tc>
          <w:tcPr>
            <w:tcW w:w="1692"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农村人口就业率</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非农失业率</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城镇登记失业率</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城乡登记失业率</w:t>
            </w:r>
          </w:p>
        </w:tc>
        <w:tc>
          <w:tcPr>
            <w:tcW w:w="713"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C</w:t>
            </w:r>
          </w:p>
        </w:tc>
        <w:tc>
          <w:tcPr>
            <w:tcW w:w="986"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2.我国信托制度最早诞生于（</w:t>
            </w:r>
            <w:r>
              <w:rPr>
                <w:rFonts w:hint="eastAsia" w:ascii="仿宋" w:hAnsi="仿宋" w:eastAsia="仿宋" w:cs="宋体"/>
                <w:sz w:val="24"/>
                <w:szCs w:val="24"/>
                <w:lang w:val="en-US" w:eastAsia="zh-CN"/>
              </w:rPr>
              <w:t xml:space="preserve">  </w:t>
            </w:r>
            <w:r>
              <w:rPr>
                <w:rFonts w:hint="eastAsia" w:ascii="仿宋" w:hAnsi="仿宋" w:eastAsia="仿宋" w:cs="宋体"/>
                <w:sz w:val="24"/>
                <w:szCs w:val="24"/>
              </w:rPr>
              <w:t>）。</w:t>
            </w:r>
          </w:p>
        </w:tc>
        <w:tc>
          <w:tcPr>
            <w:tcW w:w="1692"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19世纪初20</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20世纪初</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20世纪30年代</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20世纪80年代</w:t>
            </w:r>
          </w:p>
        </w:tc>
        <w:tc>
          <w:tcPr>
            <w:tcW w:w="713"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B</w:t>
            </w:r>
          </w:p>
        </w:tc>
        <w:tc>
          <w:tcPr>
            <w:tcW w:w="986"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3.随着复利次数的增加，同一个年名义利率求出的有效年利率也会不断__________，但增加的速度越来越__________（  ）。</w:t>
            </w:r>
          </w:p>
        </w:tc>
        <w:tc>
          <w:tcPr>
            <w:tcW w:w="1692"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降低；慢</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增加；慢</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降低；快</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增加；快</w:t>
            </w:r>
          </w:p>
        </w:tc>
        <w:tc>
          <w:tcPr>
            <w:tcW w:w="713"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B</w:t>
            </w:r>
          </w:p>
        </w:tc>
        <w:tc>
          <w:tcPr>
            <w:tcW w:w="986"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1"/>
              <w:rPr>
                <w:rFonts w:hint="eastAsia" w:ascii="仿宋" w:hAnsi="仿宋" w:eastAsia="仿宋" w:cs="宋体"/>
                <w:sz w:val="24"/>
                <w:szCs w:val="24"/>
                <w:lang w:eastAsia="zh-CN"/>
              </w:rPr>
            </w:pPr>
            <w:r>
              <w:rPr>
                <w:rFonts w:hint="eastAsia" w:ascii="仿宋" w:hAnsi="仿宋" w:eastAsia="仿宋" w:cs="宋体"/>
                <w:sz w:val="24"/>
                <w:szCs w:val="24"/>
              </w:rPr>
              <w:t>4.以下理财产品中，哪项是商业银行面向合格投资者非公开发行的理财产品（  ）</w:t>
            </w:r>
            <w:r>
              <w:rPr>
                <w:rFonts w:hint="eastAsia" w:ascii="仿宋" w:hAnsi="仿宋" w:eastAsia="仿宋" w:cs="宋体"/>
                <w:sz w:val="24"/>
                <w:szCs w:val="24"/>
                <w:lang w:eastAsia="zh-CN"/>
              </w:rPr>
              <w:t>。</w:t>
            </w:r>
          </w:p>
        </w:tc>
        <w:tc>
          <w:tcPr>
            <w:tcW w:w="1692"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浮动理财产品</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固收理财产品</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私募理财产品</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公募理财产品</w:t>
            </w:r>
          </w:p>
        </w:tc>
        <w:tc>
          <w:tcPr>
            <w:tcW w:w="713"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C</w:t>
            </w:r>
          </w:p>
        </w:tc>
        <w:tc>
          <w:tcPr>
            <w:tcW w:w="986"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5.关于国家助学贷款的说法中，错误的是(  )。</w:t>
            </w:r>
          </w:p>
        </w:tc>
        <w:tc>
          <w:tcPr>
            <w:tcW w:w="1692"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全日制专科生每人每年申请额度不超过6000元</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全日制本科生每人每年申请额度不超过8000元</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全日制研究生每人每年申请贷款额度不超过12000元</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贷款期限为学制加15年，最长不超过22年</w:t>
            </w:r>
          </w:p>
        </w:tc>
        <w:tc>
          <w:tcPr>
            <w:tcW w:w="713"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A</w:t>
            </w:r>
          </w:p>
        </w:tc>
        <w:tc>
          <w:tcPr>
            <w:tcW w:w="986"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pct"/>
            <w:noWrap w:val="0"/>
            <w:vAlign w:val="center"/>
          </w:tcPr>
          <w:p>
            <w:pPr>
              <w:jc w:val="center"/>
              <w:rPr>
                <w:rFonts w:hint="eastAsia" w:ascii="仿宋" w:hAnsi="仿宋" w:eastAsia="仿宋" w:cs="宋体"/>
                <w:sz w:val="24"/>
                <w:szCs w:val="24"/>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1692" w:type="pct"/>
            <w:gridSpan w:val="2"/>
            <w:noWrap w:val="0"/>
            <w:vAlign w:val="center"/>
          </w:tcPr>
          <w:p>
            <w:pPr>
              <w:jc w:val="center"/>
              <w:rPr>
                <w:rFonts w:hint="eastAsia" w:ascii="仿宋" w:hAnsi="仿宋" w:eastAsia="仿宋" w:cs="宋体"/>
                <w:sz w:val="24"/>
                <w:szCs w:val="24"/>
              </w:rPr>
            </w:pPr>
            <w:r>
              <w:rPr>
                <w:rFonts w:hint="eastAsia" w:ascii="仿宋_GB2312" w:eastAsia="仿宋_GB2312"/>
                <w:sz w:val="24"/>
                <w:szCs w:val="24"/>
              </w:rPr>
              <w:t>......</w:t>
            </w:r>
          </w:p>
        </w:tc>
        <w:tc>
          <w:tcPr>
            <w:tcW w:w="713"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c>
          <w:tcPr>
            <w:tcW w:w="986"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r>
    </w:tbl>
    <w:p>
      <w:pPr>
        <w:jc w:val="center"/>
        <w:rPr>
          <w:b/>
          <w:color w:val="000000"/>
          <w:sz w:val="24"/>
          <w:szCs w:val="24"/>
          <w:lang w:val="en-US"/>
        </w:rPr>
      </w:pPr>
    </w:p>
    <w:p>
      <w:pPr>
        <w:ind w:firstLine="0" w:firstLineChars="0"/>
        <w:jc w:val="both"/>
        <w:rPr>
          <w:rFonts w:hint="eastAsia"/>
          <w:b/>
          <w:color w:val="000000"/>
          <w:sz w:val="24"/>
          <w:szCs w:val="24"/>
          <w:lang w:val="en-US"/>
        </w:rPr>
      </w:pPr>
      <w:r>
        <w:rPr>
          <w:rFonts w:hint="eastAsia"/>
          <w:b/>
          <w:color w:val="000000"/>
          <w:sz w:val="24"/>
          <w:szCs w:val="24"/>
          <w:lang w:val="en-US" w:eastAsia="zh-CN"/>
        </w:rPr>
        <w:t>（2）</w:t>
      </w:r>
      <w:r>
        <w:rPr>
          <w:rFonts w:hint="eastAsia"/>
          <w:b/>
          <w:color w:val="000000"/>
          <w:sz w:val="24"/>
          <w:szCs w:val="24"/>
          <w:lang w:val="en-US"/>
        </w:rPr>
        <w:t>多选题</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9"/>
        <w:gridCol w:w="1878"/>
        <w:gridCol w:w="918"/>
        <w:gridCol w:w="1184"/>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1102" w:type="pct"/>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cs="仿宋_GB2312"/>
                <w:sz w:val="24"/>
                <w:szCs w:val="24"/>
              </w:rPr>
              <w:t>智慧金融</w:t>
            </w:r>
          </w:p>
        </w:tc>
        <w:tc>
          <w:tcPr>
            <w:tcW w:w="1234"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885" w:type="pct"/>
            <w:noWrap w:val="0"/>
            <w:vAlign w:val="center"/>
          </w:tcPr>
          <w:p>
            <w:pPr>
              <w:pStyle w:val="10"/>
              <w:ind w:left="0" w:leftChars="0" w:firstLine="0" w:firstLineChars="0"/>
              <w:jc w:val="both"/>
              <w:rPr>
                <w:rFonts w:hint="eastAsia" w:ascii="仿宋" w:hAnsi="仿宋" w:eastAsia="仿宋" w:cs="仿宋_GB2312"/>
              </w:rPr>
            </w:pPr>
            <w:r>
              <w:rPr>
                <w:rFonts w:hint="eastAsia" w:ascii="仿宋" w:hAnsi="仿宋" w:eastAsia="仿宋" w:cs="仿宋_GB2312"/>
                <w:sz w:val="24"/>
                <w:szCs w:val="24"/>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1102"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cs="仿宋_GB2312"/>
                <w:sz w:val="24"/>
                <w:szCs w:val="24"/>
                <w:lang w:eastAsia="zh-CN"/>
              </w:rPr>
              <w:t>GZ044</w:t>
            </w:r>
          </w:p>
        </w:tc>
        <w:tc>
          <w:tcPr>
            <w:tcW w:w="1234" w:type="pct"/>
            <w:gridSpan w:val="2"/>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885"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cs="仿宋_GB2312"/>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0"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2119"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0"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t xml:space="preserve">□学生组 □教师组 </w:t>
            </w:r>
            <w:r>
              <w:rPr>
                <w:rFonts w:hint="eastAsia" w:eastAsia="仿宋"/>
                <w:b/>
                <w:color w:val="000000"/>
                <w:sz w:val="24"/>
                <w:szCs w:val="24"/>
                <w:lang w:val="en-US" w:eastAsia="zh-CN"/>
              </w:rPr>
              <w:t>□师生同赛试点赛项</w:t>
            </w:r>
          </w:p>
        </w:tc>
        <w:tc>
          <w:tcPr>
            <w:tcW w:w="2119"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0"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2119"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52"/>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1641" w:type="pct"/>
            <w:gridSpan w:val="2"/>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694"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885" w:type="pct"/>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1.对于（ ）等重大事项，应当由董事会2／3以上董事通过方可有效。</w:t>
            </w:r>
          </w:p>
        </w:tc>
        <w:tc>
          <w:tcPr>
            <w:tcW w:w="1641"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利润分配方案</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重大投资</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聘任或解聘高级管理人员</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资本补充方案</w:t>
            </w:r>
          </w:p>
          <w:p>
            <w:pPr>
              <w:pStyle w:val="11"/>
              <w:rPr>
                <w:rFonts w:hint="eastAsia" w:ascii="仿宋" w:hAnsi="仿宋" w:eastAsia="仿宋" w:cs="宋体"/>
                <w:sz w:val="24"/>
                <w:szCs w:val="24"/>
              </w:rPr>
            </w:pPr>
            <w:r>
              <w:rPr>
                <w:rFonts w:hint="eastAsia" w:ascii="仿宋" w:hAnsi="仿宋" w:eastAsia="仿宋" w:cs="宋体"/>
                <w:sz w:val="24"/>
                <w:szCs w:val="24"/>
              </w:rPr>
              <w:t>E</w:t>
            </w:r>
            <w:r>
              <w:rPr>
                <w:rFonts w:hint="eastAsia" w:ascii="仿宋" w:hAnsi="仿宋" w:eastAsia="仿宋" w:cs="宋体"/>
                <w:sz w:val="24"/>
                <w:szCs w:val="24"/>
                <w:lang w:eastAsia="zh-CN"/>
              </w:rPr>
              <w:t xml:space="preserve"> </w:t>
            </w:r>
            <w:r>
              <w:rPr>
                <w:rFonts w:hint="eastAsia" w:ascii="仿宋" w:hAnsi="仿宋" w:eastAsia="仿宋" w:cs="宋体"/>
                <w:sz w:val="24"/>
                <w:szCs w:val="24"/>
              </w:rPr>
              <w:t>财务重组</w:t>
            </w:r>
          </w:p>
        </w:tc>
        <w:tc>
          <w:tcPr>
            <w:tcW w:w="694" w:type="pct"/>
            <w:noWrap w:val="0"/>
            <w:vAlign w:val="center"/>
          </w:tcPr>
          <w:p>
            <w:pPr>
              <w:pStyle w:val="11"/>
              <w:jc w:val="center"/>
              <w:rPr>
                <w:rFonts w:hint="eastAsia" w:ascii="仿宋" w:hAnsi="仿宋" w:eastAsia="仿宋" w:cs="宋体"/>
                <w:sz w:val="24"/>
                <w:szCs w:val="24"/>
              </w:rPr>
            </w:pPr>
            <w:r>
              <w:rPr>
                <w:rFonts w:hint="eastAsia" w:ascii="仿宋" w:hAnsi="仿宋" w:eastAsia="仿宋" w:cs="宋体"/>
                <w:sz w:val="24"/>
                <w:szCs w:val="24"/>
              </w:rPr>
              <w:t>ABCDE</w:t>
            </w:r>
          </w:p>
        </w:tc>
        <w:tc>
          <w:tcPr>
            <w:tcW w:w="885"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2.下列对矩阵型组织架构的描述，说法正确的有</w:t>
            </w:r>
            <w:r>
              <w:rPr>
                <w:rFonts w:hint="eastAsia" w:ascii="仿宋" w:hAnsi="仿宋" w:eastAsia="仿宋" w:cs="宋体"/>
                <w:sz w:val="24"/>
                <w:szCs w:val="24"/>
                <w:lang w:val="en-US" w:eastAsia="zh-CN"/>
              </w:rPr>
              <w:t>哪些？</w:t>
            </w:r>
            <w:r>
              <w:rPr>
                <w:rFonts w:hint="eastAsia" w:ascii="仿宋" w:hAnsi="仿宋" w:eastAsia="仿宋" w:cs="宋体"/>
                <w:sz w:val="24"/>
                <w:szCs w:val="24"/>
              </w:rPr>
              <w:t>（  ）</w:t>
            </w:r>
          </w:p>
        </w:tc>
        <w:tc>
          <w:tcPr>
            <w:tcW w:w="1641"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在该架构下，纵向和横向都需要做大量的协调和沟通工作，管理成本高昂</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在该架构下，若区域总部运作失灵，则可能对整个区域的业务发展产生严重影响</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在该架构下，各区域总部之间竞争激烈，容易因争夺资源而发生内耗</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在该架构下，不仅设立了若干区域总部，还设立了若干事业部</w:t>
            </w:r>
          </w:p>
          <w:p>
            <w:pPr>
              <w:pStyle w:val="11"/>
              <w:rPr>
                <w:rFonts w:hint="eastAsia" w:ascii="仿宋" w:hAnsi="仿宋" w:eastAsia="仿宋" w:cs="宋体"/>
                <w:sz w:val="24"/>
                <w:szCs w:val="24"/>
              </w:rPr>
            </w:pPr>
            <w:r>
              <w:rPr>
                <w:rFonts w:hint="eastAsia" w:ascii="仿宋" w:hAnsi="仿宋" w:eastAsia="仿宋" w:cs="宋体"/>
                <w:sz w:val="24"/>
                <w:szCs w:val="24"/>
              </w:rPr>
              <w:t>E</w:t>
            </w:r>
            <w:r>
              <w:rPr>
                <w:rFonts w:hint="eastAsia" w:ascii="仿宋" w:hAnsi="仿宋" w:eastAsia="仿宋" w:cs="宋体"/>
                <w:sz w:val="24"/>
                <w:szCs w:val="24"/>
                <w:lang w:eastAsia="zh-CN"/>
              </w:rPr>
              <w:t xml:space="preserve"> </w:t>
            </w:r>
            <w:r>
              <w:rPr>
                <w:rFonts w:hint="eastAsia" w:ascii="仿宋" w:hAnsi="仿宋" w:eastAsia="仿宋" w:cs="宋体"/>
                <w:sz w:val="24"/>
                <w:szCs w:val="24"/>
              </w:rPr>
              <w:t>区域总部的事业部只接受区域总部领导人的领导，并不接受总行相同事业部领导人的领导</w:t>
            </w:r>
          </w:p>
        </w:tc>
        <w:tc>
          <w:tcPr>
            <w:tcW w:w="694"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s="宋体"/>
                <w:sz w:val="24"/>
                <w:szCs w:val="24"/>
              </w:rPr>
              <w:t>ABCD</w:t>
            </w:r>
          </w:p>
        </w:tc>
        <w:tc>
          <w:tcPr>
            <w:tcW w:w="885"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1"/>
              <w:rPr>
                <w:rFonts w:hint="eastAsia" w:ascii="仿宋" w:hAnsi="仿宋" w:eastAsia="仿宋" w:cs="宋体"/>
                <w:sz w:val="24"/>
                <w:szCs w:val="24"/>
                <w:lang w:eastAsia="zh-CN"/>
              </w:rPr>
            </w:pPr>
            <w:r>
              <w:rPr>
                <w:rFonts w:hint="eastAsia" w:ascii="仿宋" w:hAnsi="仿宋" w:eastAsia="仿宋" w:cs="宋体"/>
                <w:sz w:val="24"/>
                <w:szCs w:val="24"/>
              </w:rPr>
              <w:t>3.区块链应用场景有哪些</w:t>
            </w:r>
            <w:r>
              <w:rPr>
                <w:rFonts w:hint="eastAsia" w:ascii="仿宋" w:hAnsi="仿宋" w:eastAsia="仿宋" w:cs="宋体"/>
                <w:sz w:val="24"/>
                <w:szCs w:val="24"/>
                <w:lang w:eastAsia="zh-CN"/>
              </w:rPr>
              <w:t>？</w:t>
            </w:r>
            <w:r>
              <w:rPr>
                <w:rFonts w:hint="eastAsia" w:ascii="仿宋" w:hAnsi="仿宋" w:eastAsia="仿宋" w:cs="宋体"/>
                <w:sz w:val="24"/>
                <w:szCs w:val="24"/>
              </w:rPr>
              <w:t>(   )</w:t>
            </w:r>
          </w:p>
        </w:tc>
        <w:tc>
          <w:tcPr>
            <w:tcW w:w="1641"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匿名交易</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共享经济</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物联网</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溯源</w:t>
            </w:r>
          </w:p>
          <w:p>
            <w:pPr>
              <w:pStyle w:val="11"/>
              <w:rPr>
                <w:rFonts w:hint="eastAsia" w:ascii="仿宋" w:hAnsi="仿宋" w:eastAsia="仿宋" w:cs="宋体"/>
                <w:sz w:val="24"/>
                <w:szCs w:val="24"/>
              </w:rPr>
            </w:pPr>
            <w:r>
              <w:rPr>
                <w:rFonts w:hint="eastAsia" w:ascii="仿宋" w:hAnsi="仿宋" w:eastAsia="仿宋" w:cs="宋体"/>
                <w:sz w:val="24"/>
                <w:szCs w:val="24"/>
              </w:rPr>
              <w:t>E</w:t>
            </w:r>
            <w:r>
              <w:rPr>
                <w:rFonts w:hint="eastAsia" w:ascii="仿宋" w:hAnsi="仿宋" w:eastAsia="仿宋" w:cs="宋体"/>
                <w:sz w:val="24"/>
                <w:szCs w:val="24"/>
                <w:lang w:eastAsia="zh-CN"/>
              </w:rPr>
              <w:t xml:space="preserve"> </w:t>
            </w:r>
            <w:r>
              <w:rPr>
                <w:rFonts w:hint="eastAsia" w:ascii="仿宋" w:hAnsi="仿宋" w:eastAsia="仿宋" w:cs="宋体"/>
                <w:sz w:val="24"/>
                <w:szCs w:val="24"/>
              </w:rPr>
              <w:t>医疗证明</w:t>
            </w:r>
          </w:p>
        </w:tc>
        <w:tc>
          <w:tcPr>
            <w:tcW w:w="694"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s="宋体"/>
                <w:sz w:val="24"/>
                <w:szCs w:val="24"/>
              </w:rPr>
              <w:t>ABCD</w:t>
            </w:r>
          </w:p>
        </w:tc>
        <w:tc>
          <w:tcPr>
            <w:tcW w:w="885"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4.区块链拥有的不可篡改特征为区块链中的数据提供了</w:t>
            </w:r>
            <w:r>
              <w:rPr>
                <w:rFonts w:hint="eastAsia" w:ascii="仿宋" w:hAnsi="仿宋" w:eastAsia="仿宋" w:cs="宋体"/>
                <w:sz w:val="24"/>
                <w:szCs w:val="24"/>
                <w:lang w:val="en-US" w:eastAsia="zh-CN"/>
              </w:rPr>
              <w:t>什么</w:t>
            </w:r>
            <w:r>
              <w:rPr>
                <w:rFonts w:hint="eastAsia" w:ascii="仿宋" w:hAnsi="仿宋" w:eastAsia="仿宋" w:cs="宋体"/>
                <w:sz w:val="24"/>
                <w:szCs w:val="24"/>
                <w:lang w:eastAsia="zh-CN"/>
              </w:rPr>
              <w:t>？</w:t>
            </w:r>
            <w:r>
              <w:rPr>
                <w:rFonts w:hint="eastAsia" w:ascii="仿宋" w:hAnsi="仿宋" w:eastAsia="仿宋" w:cs="宋体"/>
                <w:sz w:val="24"/>
                <w:szCs w:val="24"/>
              </w:rPr>
              <w:t>（  ）</w:t>
            </w:r>
          </w:p>
        </w:tc>
        <w:tc>
          <w:tcPr>
            <w:tcW w:w="1641"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安全性</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高效性</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稳定性</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特殊性</w:t>
            </w:r>
          </w:p>
        </w:tc>
        <w:tc>
          <w:tcPr>
            <w:tcW w:w="694"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s="宋体"/>
                <w:sz w:val="24"/>
                <w:szCs w:val="24"/>
              </w:rPr>
              <w:t>AC</w:t>
            </w:r>
          </w:p>
        </w:tc>
        <w:tc>
          <w:tcPr>
            <w:tcW w:w="885"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pStyle w:val="11"/>
              <w:rPr>
                <w:rFonts w:hint="eastAsia" w:ascii="仿宋" w:hAnsi="仿宋" w:eastAsia="仿宋" w:cs="宋体"/>
                <w:sz w:val="24"/>
                <w:szCs w:val="24"/>
                <w:lang w:eastAsia="zh-CN"/>
              </w:rPr>
            </w:pPr>
            <w:r>
              <w:rPr>
                <w:rFonts w:hint="eastAsia" w:ascii="仿宋" w:hAnsi="仿宋" w:eastAsia="仿宋" w:cs="宋体"/>
                <w:sz w:val="24"/>
                <w:szCs w:val="24"/>
              </w:rPr>
              <w:t>5.分布式不可能三角是什么</w:t>
            </w:r>
            <w:r>
              <w:rPr>
                <w:rFonts w:hint="eastAsia" w:ascii="仿宋" w:hAnsi="仿宋" w:eastAsia="仿宋" w:cs="宋体"/>
                <w:sz w:val="24"/>
                <w:szCs w:val="24"/>
                <w:lang w:eastAsia="zh-CN"/>
              </w:rPr>
              <w:t>？</w:t>
            </w:r>
            <w:r>
              <w:rPr>
                <w:rFonts w:hint="eastAsia" w:ascii="仿宋" w:hAnsi="仿宋" w:eastAsia="仿宋" w:cs="宋体"/>
                <w:sz w:val="24"/>
                <w:szCs w:val="24"/>
              </w:rPr>
              <w:t>(   )</w:t>
            </w:r>
          </w:p>
        </w:tc>
        <w:tc>
          <w:tcPr>
            <w:tcW w:w="1641" w:type="pct"/>
            <w:gridSpan w:val="2"/>
            <w:noWrap w:val="0"/>
            <w:vAlign w:val="center"/>
          </w:tcPr>
          <w:p>
            <w:pPr>
              <w:pStyle w:val="11"/>
              <w:rPr>
                <w:rFonts w:hint="eastAsia" w:ascii="仿宋" w:hAnsi="仿宋" w:eastAsia="仿宋" w:cs="宋体"/>
                <w:sz w:val="24"/>
                <w:szCs w:val="24"/>
              </w:rPr>
            </w:pPr>
            <w:r>
              <w:rPr>
                <w:rFonts w:hint="eastAsia" w:ascii="仿宋" w:hAnsi="仿宋" w:eastAsia="仿宋" w:cs="宋体"/>
                <w:sz w:val="24"/>
                <w:szCs w:val="24"/>
              </w:rPr>
              <w:t>A</w:t>
            </w:r>
            <w:r>
              <w:rPr>
                <w:rFonts w:hint="eastAsia" w:ascii="仿宋" w:hAnsi="仿宋" w:eastAsia="仿宋" w:cs="宋体"/>
                <w:sz w:val="24"/>
                <w:szCs w:val="24"/>
                <w:lang w:eastAsia="zh-CN"/>
              </w:rPr>
              <w:t xml:space="preserve"> </w:t>
            </w:r>
            <w:r>
              <w:rPr>
                <w:rFonts w:hint="eastAsia" w:ascii="仿宋" w:hAnsi="仿宋" w:eastAsia="仿宋" w:cs="宋体"/>
                <w:sz w:val="24"/>
                <w:szCs w:val="24"/>
              </w:rPr>
              <w:t>一致性</w:t>
            </w:r>
          </w:p>
          <w:p>
            <w:pPr>
              <w:pStyle w:val="11"/>
              <w:rPr>
                <w:rFonts w:hint="eastAsia" w:ascii="仿宋" w:hAnsi="仿宋" w:eastAsia="仿宋" w:cs="宋体"/>
                <w:sz w:val="24"/>
                <w:szCs w:val="24"/>
              </w:rPr>
            </w:pPr>
            <w:r>
              <w:rPr>
                <w:rFonts w:hint="eastAsia" w:ascii="仿宋" w:hAnsi="仿宋" w:eastAsia="仿宋" w:cs="宋体"/>
                <w:sz w:val="24"/>
                <w:szCs w:val="24"/>
              </w:rPr>
              <w:t>B</w:t>
            </w:r>
            <w:r>
              <w:rPr>
                <w:rFonts w:hint="eastAsia" w:ascii="仿宋" w:hAnsi="仿宋" w:eastAsia="仿宋" w:cs="宋体"/>
                <w:sz w:val="24"/>
                <w:szCs w:val="24"/>
                <w:lang w:eastAsia="zh-CN"/>
              </w:rPr>
              <w:t xml:space="preserve"> </w:t>
            </w:r>
            <w:r>
              <w:rPr>
                <w:rFonts w:hint="eastAsia" w:ascii="仿宋" w:hAnsi="仿宋" w:eastAsia="仿宋" w:cs="宋体"/>
                <w:sz w:val="24"/>
                <w:szCs w:val="24"/>
              </w:rPr>
              <w:t>可用性</w:t>
            </w:r>
          </w:p>
          <w:p>
            <w:pPr>
              <w:pStyle w:val="11"/>
              <w:rPr>
                <w:rFonts w:hint="eastAsia" w:ascii="仿宋" w:hAnsi="仿宋" w:eastAsia="仿宋" w:cs="宋体"/>
                <w:sz w:val="24"/>
                <w:szCs w:val="24"/>
              </w:rPr>
            </w:pPr>
            <w:r>
              <w:rPr>
                <w:rFonts w:hint="eastAsia" w:ascii="仿宋" w:hAnsi="仿宋" w:eastAsia="仿宋" w:cs="宋体"/>
                <w:sz w:val="24"/>
                <w:szCs w:val="24"/>
              </w:rPr>
              <w:t>C</w:t>
            </w:r>
            <w:r>
              <w:rPr>
                <w:rFonts w:hint="eastAsia" w:ascii="仿宋" w:hAnsi="仿宋" w:eastAsia="仿宋" w:cs="宋体"/>
                <w:sz w:val="24"/>
                <w:szCs w:val="24"/>
                <w:lang w:eastAsia="zh-CN"/>
              </w:rPr>
              <w:t xml:space="preserve"> </w:t>
            </w:r>
            <w:r>
              <w:rPr>
                <w:rFonts w:hint="eastAsia" w:ascii="仿宋" w:hAnsi="仿宋" w:eastAsia="仿宋" w:cs="宋体"/>
                <w:sz w:val="24"/>
                <w:szCs w:val="24"/>
              </w:rPr>
              <w:t>分区容错性</w:t>
            </w:r>
          </w:p>
          <w:p>
            <w:pPr>
              <w:pStyle w:val="11"/>
              <w:rPr>
                <w:rFonts w:hint="eastAsia" w:ascii="仿宋" w:hAnsi="仿宋" w:eastAsia="仿宋" w:cs="宋体"/>
                <w:sz w:val="24"/>
                <w:szCs w:val="24"/>
              </w:rPr>
            </w:pPr>
            <w:r>
              <w:rPr>
                <w:rFonts w:hint="eastAsia" w:ascii="仿宋" w:hAnsi="仿宋" w:eastAsia="仿宋" w:cs="宋体"/>
                <w:sz w:val="24"/>
                <w:szCs w:val="24"/>
              </w:rPr>
              <w:t>D</w:t>
            </w:r>
            <w:r>
              <w:rPr>
                <w:rFonts w:hint="eastAsia" w:ascii="仿宋" w:hAnsi="仿宋" w:eastAsia="仿宋" w:cs="宋体"/>
                <w:sz w:val="24"/>
                <w:szCs w:val="24"/>
                <w:lang w:eastAsia="zh-CN"/>
              </w:rPr>
              <w:t xml:space="preserve"> </w:t>
            </w:r>
            <w:r>
              <w:rPr>
                <w:rFonts w:hint="eastAsia" w:ascii="仿宋" w:hAnsi="仿宋" w:eastAsia="仿宋" w:cs="宋体"/>
                <w:sz w:val="24"/>
                <w:szCs w:val="24"/>
              </w:rPr>
              <w:t>正确性</w:t>
            </w:r>
          </w:p>
        </w:tc>
        <w:tc>
          <w:tcPr>
            <w:tcW w:w="694"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s="宋体"/>
                <w:sz w:val="24"/>
                <w:szCs w:val="24"/>
              </w:rPr>
              <w:t>ABC</w:t>
            </w:r>
          </w:p>
        </w:tc>
        <w:tc>
          <w:tcPr>
            <w:tcW w:w="885"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pct"/>
            <w:noWrap w:val="0"/>
            <w:vAlign w:val="center"/>
          </w:tcPr>
          <w:p>
            <w:pPr>
              <w:jc w:val="center"/>
              <w:rPr>
                <w:rFonts w:hint="eastAsia" w:ascii="仿宋" w:hAnsi="仿宋" w:eastAsia="仿宋" w:cs="宋体"/>
                <w:sz w:val="24"/>
                <w:szCs w:val="24"/>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1641" w:type="pct"/>
            <w:gridSpan w:val="2"/>
            <w:noWrap w:val="0"/>
            <w:vAlign w:val="center"/>
          </w:tcPr>
          <w:p>
            <w:pPr>
              <w:jc w:val="center"/>
              <w:rPr>
                <w:rFonts w:hint="eastAsia" w:ascii="仿宋" w:hAnsi="仿宋" w:eastAsia="仿宋" w:cs="宋体"/>
                <w:sz w:val="24"/>
                <w:szCs w:val="24"/>
              </w:rPr>
            </w:pPr>
            <w:r>
              <w:rPr>
                <w:rFonts w:hint="eastAsia" w:ascii="仿宋_GB2312" w:eastAsia="仿宋_GB2312"/>
                <w:sz w:val="24"/>
                <w:szCs w:val="24"/>
              </w:rPr>
              <w:t>......</w:t>
            </w:r>
          </w:p>
        </w:tc>
        <w:tc>
          <w:tcPr>
            <w:tcW w:w="694"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c>
          <w:tcPr>
            <w:tcW w:w="885"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r>
    </w:tbl>
    <w:p>
      <w:pPr>
        <w:rPr>
          <w:rFonts w:hint="eastAsia"/>
          <w:b/>
          <w:color w:val="000000"/>
          <w:sz w:val="24"/>
          <w:szCs w:val="24"/>
          <w:lang w:val="en-US"/>
        </w:rPr>
      </w:pPr>
    </w:p>
    <w:p>
      <w:pPr>
        <w:ind w:firstLine="0" w:firstLineChars="0"/>
        <w:jc w:val="both"/>
        <w:rPr>
          <w:rFonts w:hint="eastAsia"/>
          <w:b/>
          <w:color w:val="000000"/>
          <w:sz w:val="24"/>
          <w:szCs w:val="24"/>
          <w:lang w:val="en-US"/>
        </w:rPr>
      </w:pPr>
      <w:r>
        <w:rPr>
          <w:rFonts w:hint="eastAsia"/>
          <w:b/>
          <w:color w:val="000000"/>
          <w:sz w:val="24"/>
          <w:szCs w:val="24"/>
          <w:lang w:val="en-US" w:eastAsia="zh-CN"/>
        </w:rPr>
        <w:t>（3）</w:t>
      </w:r>
      <w:r>
        <w:rPr>
          <w:rFonts w:hint="eastAsia"/>
          <w:b/>
          <w:color w:val="000000"/>
          <w:sz w:val="24"/>
          <w:szCs w:val="24"/>
          <w:lang w:val="en-US"/>
        </w:rPr>
        <w:t>是非题</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2442"/>
        <w:gridCol w:w="1551"/>
        <w:gridCol w:w="193"/>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2"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1432" w:type="pct"/>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cs="仿宋_GB2312"/>
                <w:sz w:val="24"/>
                <w:szCs w:val="24"/>
              </w:rPr>
              <w:t>智慧金融</w:t>
            </w:r>
          </w:p>
        </w:tc>
        <w:tc>
          <w:tcPr>
            <w:tcW w:w="1023"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891" w:type="pct"/>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ascii="仿宋" w:hAnsi="仿宋" w:eastAsia="仿宋" w:cs="仿宋"/>
                <w:sz w:val="24"/>
                <w:szCs w:val="28"/>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2"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1432"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ascii="仿宋" w:hAnsi="仿宋" w:eastAsia="仿宋" w:cs="仿宋"/>
                <w:sz w:val="24"/>
                <w:szCs w:val="24"/>
                <w:lang w:eastAsia="zh-CN"/>
              </w:rPr>
              <w:t>GZ044</w:t>
            </w:r>
          </w:p>
        </w:tc>
        <w:tc>
          <w:tcPr>
            <w:tcW w:w="1023"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891"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cs="仿宋_GB2312"/>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1914"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c>
          <w:tcPr>
            <w:tcW w:w="1914"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sym w:font="Wingdings 2" w:char="00A3"/>
            </w: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1914" w:type="pct"/>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52"/>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题目内容</w:t>
            </w:r>
          </w:p>
        </w:tc>
        <w:tc>
          <w:tcPr>
            <w:tcW w:w="910" w:type="pc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1003" w:type="pct"/>
            <w:gridSpan w:val="2"/>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rPr>
                <w:rFonts w:hint="eastAsia" w:eastAsia="仿宋"/>
                <w:bCs/>
                <w:color w:val="000000"/>
                <w:sz w:val="24"/>
                <w:szCs w:val="24"/>
                <w:lang w:val="en-US"/>
              </w:rPr>
            </w:pPr>
            <w:r>
              <w:rPr>
                <w:rFonts w:hint="eastAsia" w:eastAsia="仿宋" w:cs="宋体"/>
                <w:sz w:val="24"/>
                <w:szCs w:val="24"/>
              </w:rPr>
              <w:t>1.区块链式共享和互联网式共享的本质区别在于区块链共享的不仅仅是数据，而是数据的控制权。（  ）</w:t>
            </w:r>
          </w:p>
        </w:tc>
        <w:tc>
          <w:tcPr>
            <w:tcW w:w="910" w:type="pct"/>
            <w:noWrap w:val="0"/>
            <w:vAlign w:val="center"/>
          </w:tcPr>
          <w:p>
            <w:pPr>
              <w:pStyle w:val="15"/>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003" w:type="pct"/>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rPr>
                <w:rFonts w:hint="eastAsia" w:eastAsia="仿宋"/>
                <w:bCs/>
                <w:color w:val="000000"/>
                <w:sz w:val="24"/>
                <w:szCs w:val="24"/>
                <w:lang w:val="en-US"/>
              </w:rPr>
            </w:pPr>
            <w:r>
              <w:rPr>
                <w:rFonts w:hint="eastAsia" w:eastAsia="仿宋" w:cs="宋体"/>
                <w:sz w:val="24"/>
                <w:szCs w:val="24"/>
              </w:rPr>
              <w:t>2.保险费的数额同保险金额的大小保险费率的高低和保险期限的长短成正比，即保险金额越大，保险费率越高，保险期限越长，则保险费也就越多。(  )</w:t>
            </w:r>
          </w:p>
        </w:tc>
        <w:tc>
          <w:tcPr>
            <w:tcW w:w="910"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003" w:type="pct"/>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rPr>
                <w:rFonts w:hint="eastAsia" w:eastAsia="仿宋"/>
                <w:bCs/>
                <w:color w:val="000000"/>
                <w:sz w:val="24"/>
                <w:szCs w:val="24"/>
                <w:lang w:val="en-US"/>
              </w:rPr>
            </w:pPr>
            <w:r>
              <w:rPr>
                <w:rFonts w:hint="eastAsia" w:eastAsia="仿宋" w:cs="宋体"/>
                <w:sz w:val="24"/>
                <w:szCs w:val="24"/>
              </w:rPr>
              <w:t>3.在区块链和“新基建”的结合中，区块链被视为“新基建”中的信任机器，推动着“信息互联网”向“价值互联网”变迁。（  ）</w:t>
            </w:r>
          </w:p>
        </w:tc>
        <w:tc>
          <w:tcPr>
            <w:tcW w:w="910"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003" w:type="pct"/>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rPr>
                <w:rFonts w:hint="eastAsia" w:eastAsia="仿宋"/>
                <w:bCs/>
                <w:color w:val="000000"/>
                <w:sz w:val="24"/>
                <w:szCs w:val="24"/>
                <w:lang w:val="en-US"/>
              </w:rPr>
            </w:pPr>
            <w:r>
              <w:rPr>
                <w:rFonts w:hint="eastAsia" w:eastAsia="仿宋" w:cs="宋体"/>
                <w:sz w:val="24"/>
                <w:szCs w:val="24"/>
              </w:rPr>
              <w:t>4.八周岁以上十六周岁以下的未成年人是限制民事行为能力人。(  )</w:t>
            </w:r>
          </w:p>
        </w:tc>
        <w:tc>
          <w:tcPr>
            <w:tcW w:w="910"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003" w:type="pct"/>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pStyle w:val="15"/>
              <w:adjustRightInd w:val="0"/>
              <w:snapToGrid w:val="0"/>
              <w:spacing w:after="0"/>
              <w:ind w:left="0" w:leftChars="0" w:firstLine="0" w:firstLineChars="0"/>
              <w:rPr>
                <w:rFonts w:hint="eastAsia" w:eastAsia="仿宋"/>
                <w:bCs/>
                <w:color w:val="000000"/>
                <w:sz w:val="24"/>
                <w:szCs w:val="24"/>
                <w:lang w:val="en-US"/>
              </w:rPr>
            </w:pPr>
            <w:r>
              <w:rPr>
                <w:rFonts w:hint="eastAsia" w:eastAsia="仿宋" w:cs="宋体"/>
                <w:sz w:val="24"/>
                <w:szCs w:val="24"/>
              </w:rPr>
              <w:t>5.银行实施业务连续性管理首先需要识别重要业务及其恢复的优先顺序，明确恢复的时间目标。（  ）</w:t>
            </w:r>
          </w:p>
        </w:tc>
        <w:tc>
          <w:tcPr>
            <w:tcW w:w="910" w:type="pct"/>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003" w:type="pct"/>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85" w:type="pct"/>
            <w:gridSpan w:val="2"/>
            <w:noWrap w:val="0"/>
            <w:vAlign w:val="center"/>
          </w:tcPr>
          <w:p>
            <w:pPr>
              <w:jc w:val="center"/>
              <w:rPr>
                <w:rFonts w:hint="eastAsia" w:eastAsia="仿宋"/>
                <w:bCs/>
                <w:color w:val="000000"/>
                <w:sz w:val="24"/>
                <w:szCs w:val="24"/>
                <w:lang w:val="en-US"/>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910" w:type="pct"/>
            <w:noWrap w:val="0"/>
            <w:vAlign w:val="center"/>
          </w:tcPr>
          <w:p>
            <w:pPr>
              <w:jc w:val="center"/>
              <w:rPr>
                <w:rFonts w:hint="eastAsia" w:eastAsia="仿宋"/>
                <w:color w:val="000000"/>
                <w:sz w:val="24"/>
                <w:szCs w:val="24"/>
                <w:lang w:val="en-US"/>
              </w:rPr>
            </w:pPr>
            <w:r>
              <w:rPr>
                <w:rFonts w:hint="eastAsia" w:ascii="仿宋_GB2312" w:eastAsia="仿宋_GB2312"/>
                <w:sz w:val="24"/>
                <w:szCs w:val="24"/>
              </w:rPr>
              <w:t>......</w:t>
            </w:r>
          </w:p>
        </w:tc>
        <w:tc>
          <w:tcPr>
            <w:tcW w:w="1003" w:type="pct"/>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r>
    </w:tbl>
    <w:p>
      <w:pPr>
        <w:pStyle w:val="4"/>
        <w:numPr>
          <w:ilvl w:val="-1"/>
          <w:numId w:val="0"/>
        </w:numPr>
        <w:bidi w:val="0"/>
        <w:spacing w:before="0" w:after="0" w:line="360" w:lineRule="auto"/>
        <w:ind w:left="0" w:leftChars="0" w:firstLine="0"/>
        <w:outlineLvl w:val="1"/>
        <w:rPr>
          <w:rFonts w:hint="default" w:ascii="仿宋_GB2312" w:hAnsi="仿宋_GB2312" w:eastAsia="仿宋_GB2312" w:cs="仿宋_GB2312"/>
          <w:bCs/>
          <w:color w:val="auto"/>
          <w:sz w:val="28"/>
          <w:szCs w:val="28"/>
          <w:lang w:val="en-US" w:eastAsia="zh-CN" w:bidi="ar-SA"/>
        </w:rPr>
      </w:pPr>
      <w:r>
        <w:rPr>
          <w:rFonts w:hint="default" w:ascii="仿宋_GB2312" w:hAnsi="仿宋_GB2312" w:eastAsia="仿宋_GB2312" w:cs="仿宋_GB2312"/>
          <w:bCs/>
          <w:color w:val="auto"/>
          <w:sz w:val="28"/>
          <w:szCs w:val="28"/>
          <w:lang w:val="en-US" w:eastAsia="zh-CN" w:bidi="ar-SA"/>
        </w:rPr>
        <w:t>2.职业技能</w:t>
      </w:r>
    </w:p>
    <w:p>
      <w:pPr>
        <w:pStyle w:val="4"/>
        <w:numPr>
          <w:ilvl w:val="-1"/>
          <w:numId w:val="0"/>
        </w:numPr>
        <w:bidi w:val="0"/>
        <w:spacing w:before="0" w:after="0" w:line="360" w:lineRule="auto"/>
        <w:ind w:left="0" w:leftChars="0" w:firstLine="0"/>
        <w:outlineLvl w:val="1"/>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（1）手工点钞</w:t>
      </w:r>
    </w:p>
    <w:tbl>
      <w:tblPr>
        <w:tblStyle w:val="16"/>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30"/>
        <w:gridCol w:w="633"/>
        <w:gridCol w:w="889"/>
        <w:gridCol w:w="1990"/>
        <w:gridCol w:w="1412"/>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163"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w:t>
            </w:r>
            <w:r>
              <w:rPr>
                <w:rFonts w:eastAsia="仿宋"/>
                <w:color w:val="000000"/>
                <w:sz w:val="24"/>
                <w:szCs w:val="24"/>
                <w:lang w:val="en-US"/>
              </w:rPr>
              <w:t>2</w:t>
            </w:r>
          </w:p>
        </w:tc>
        <w:tc>
          <w:tcPr>
            <w:tcW w:w="2879"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2135" w:type="dxa"/>
            <w:gridSpan w:val="2"/>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s="仿宋_GB2312"/>
                <w:sz w:val="24"/>
                <w:szCs w:val="24"/>
                <w:lang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163"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手工点钞</w:t>
            </w:r>
          </w:p>
        </w:tc>
        <w:tc>
          <w:tcPr>
            <w:tcW w:w="2879"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2135" w:type="dxa"/>
            <w:gridSpan w:val="2"/>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7177"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olor w:val="000000"/>
                <w:sz w:val="24"/>
                <w:szCs w:val="24"/>
                <w:highlight w:val="none"/>
                <w:lang w:val="en-US"/>
              </w:rPr>
              <w:t>总时间</w:t>
            </w:r>
            <w:r>
              <w:rPr>
                <w:rFonts w:hint="eastAsia" w:eastAsia="仿宋"/>
                <w:color w:val="000000"/>
                <w:sz w:val="24"/>
                <w:szCs w:val="24"/>
                <w:highlight w:val="none"/>
                <w:lang w:val="en-US" w:eastAsia="zh-CN"/>
              </w:rPr>
              <w:t>3</w:t>
            </w:r>
            <w:r>
              <w:rPr>
                <w:rFonts w:eastAsia="仿宋"/>
                <w:color w:val="000000"/>
                <w:sz w:val="24"/>
                <w:szCs w:val="24"/>
                <w:highlight w:val="none"/>
                <w:lang w:val="en-US"/>
              </w:rPr>
              <w:t>0</w:t>
            </w:r>
            <w:r>
              <w:rPr>
                <w:rFonts w:hint="eastAsia" w:eastAsia="仿宋"/>
                <w:color w:val="000000"/>
                <w:sz w:val="24"/>
                <w:szCs w:val="24"/>
                <w:highlight w:val="none"/>
                <w:lang w:val="en-US"/>
              </w:rPr>
              <w:t>分钟，其中实施</w:t>
            </w:r>
            <w:r>
              <w:rPr>
                <w:rFonts w:hint="eastAsia" w:eastAsia="仿宋"/>
                <w:color w:val="000000"/>
                <w:sz w:val="24"/>
                <w:szCs w:val="24"/>
                <w:highlight w:val="none"/>
                <w:lang w:val="en-US" w:eastAsia="zh-CN"/>
              </w:rPr>
              <w:t>10</w:t>
            </w:r>
            <w:r>
              <w:rPr>
                <w:rFonts w:hint="eastAsia" w:eastAsia="仿宋"/>
                <w:color w:val="000000"/>
                <w:sz w:val="24"/>
                <w:szCs w:val="24"/>
                <w:highlight w:val="none"/>
                <w:lang w:val="en-US"/>
              </w:rPr>
              <w:t>分钟、评价</w:t>
            </w:r>
            <w:r>
              <w:rPr>
                <w:rFonts w:hint="eastAsia" w:eastAsia="仿宋"/>
                <w:color w:val="000000"/>
                <w:sz w:val="24"/>
                <w:szCs w:val="24"/>
                <w:highlight w:val="none"/>
                <w:lang w:val="en-US" w:eastAsia="zh-CN"/>
              </w:rPr>
              <w:t>20</w:t>
            </w:r>
            <w:r>
              <w:rPr>
                <w:rFonts w:hint="eastAsia" w:eastAsia="仿宋"/>
                <w:color w:val="000000"/>
                <w:sz w:val="24"/>
                <w:szCs w:val="24"/>
                <w:highlight w:val="none"/>
                <w:lang w:val="en-US"/>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7177" w:type="dxa"/>
            <w:gridSpan w:val="6"/>
            <w:noWrap w:val="0"/>
            <w:vAlign w:val="center"/>
          </w:tcPr>
          <w:p>
            <w:pPr>
              <w:pStyle w:val="15"/>
              <w:spacing w:after="0"/>
              <w:ind w:left="0" w:leftChars="0" w:firstLine="0" w:firstLineChars="0"/>
              <w:rPr>
                <w:rFonts w:hint="eastAsia" w:ascii="仿宋" w:hAnsi="仿宋" w:eastAsia="仿宋" w:cs="仿宋"/>
                <w:sz w:val="24"/>
                <w:szCs w:val="28"/>
                <w:lang w:val="en-US"/>
              </w:rPr>
            </w:pPr>
            <w:r>
              <w:rPr>
                <w:rFonts w:hint="eastAsia" w:ascii="仿宋" w:hAnsi="仿宋" w:eastAsia="仿宋" w:cs="仿宋"/>
                <w:sz w:val="24"/>
                <w:szCs w:val="28"/>
                <w:lang w:val="en-US"/>
              </w:rPr>
              <w:t>赛前由系统随机生成8种面额点钞专用券的张数，各面值的数量为300—320张。由选手对8种面额的人民币点钞专用券进行清点、盖章和捆扎，并将捆扎好的点钞专用券放入篮筐中。点钞方法由选手自定。参赛选手在比赛时将清点结果填入系统设定的“现金存款凭条”，系统对输入结果自动评分，现场裁判对捆扎及盖章质量进行人工评分</w:t>
            </w:r>
          </w:p>
          <w:p>
            <w:pPr>
              <w:jc w:val="center"/>
              <w:rPr>
                <w:rFonts w:hint="eastAsia"/>
                <w:lang w:val="en-US"/>
              </w:rPr>
            </w:pPr>
            <w:r>
              <w:rPr>
                <w:rFonts w:hint="eastAsia"/>
              </w:rPr>
              <w:drawing>
                <wp:inline distT="0" distB="0" distL="0" distR="0">
                  <wp:extent cx="4810760" cy="2746375"/>
                  <wp:effectExtent l="9525" t="9525" r="10795" b="17780"/>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jpeg"/>
                          <pic:cNvPicPr>
                            <a:picLocks noChangeAspect="1"/>
                          </pic:cNvPicPr>
                        </pic:nvPicPr>
                        <pic:blipFill>
                          <a:blip r:embed="rId6" cstate="print">
                            <a:extLst>
                              <a:ext uri="{28A0092B-C50C-407E-A947-70E740481C1C}">
                                <a14:useLocalDpi xmlns:a14="http://schemas.microsoft.com/office/drawing/2010/main" val="0"/>
                              </a:ext>
                            </a:extLst>
                          </a:blip>
                          <a:srcRect l="14734" r="6561"/>
                          <a:stretch>
                            <a:fillRect/>
                          </a:stretch>
                        </pic:blipFill>
                        <pic:spPr>
                          <a:xfrm>
                            <a:off x="0" y="0"/>
                            <a:ext cx="4810760" cy="2746375"/>
                          </a:xfrm>
                          <a:prstGeom prst="rect">
                            <a:avLst/>
                          </a:prstGeom>
                          <a:ln>
                            <a:solidFill>
                              <a:srgbClr val="FF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7177" w:type="dxa"/>
            <w:gridSpan w:val="6"/>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A3"/>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A3"/>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A3"/>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vMerge w:val="restar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53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522"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99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1412"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723"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vMerge w:val="continue"/>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p>
        </w:tc>
        <w:tc>
          <w:tcPr>
            <w:tcW w:w="1530" w:type="dxa"/>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子任务1-1</w:t>
            </w:r>
          </w:p>
        </w:tc>
        <w:tc>
          <w:tcPr>
            <w:tcW w:w="1522"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参赛选手按要求在比赛时间内将点钞计算结果录入系统设定的“现金存款凭条”中</w:t>
            </w:r>
          </w:p>
        </w:tc>
        <w:tc>
          <w:tcPr>
            <w:tcW w:w="1990"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w:t>
            </w:r>
            <w:r>
              <w:rPr>
                <w:rFonts w:ascii="仿宋" w:hAnsi="仿宋" w:eastAsia="仿宋" w:cs="仿宋"/>
                <w:spacing w:val="-1"/>
                <w:sz w:val="28"/>
                <w:szCs w:val="28"/>
              </w:rPr>
              <w:t>．</w:t>
            </w:r>
            <w:r>
              <w:rPr>
                <w:rFonts w:hint="eastAsia" w:eastAsia="仿宋"/>
                <w:color w:val="000000"/>
                <w:sz w:val="24"/>
                <w:szCs w:val="24"/>
                <w:lang w:val="en-US"/>
              </w:rPr>
              <w:t>听从裁判指令准备和摆放点钞用品</w:t>
            </w:r>
          </w:p>
          <w:p>
            <w:pPr>
              <w:pStyle w:val="15"/>
              <w:spacing w:after="0"/>
              <w:ind w:left="0" w:leftChars="0" w:firstLine="0" w:firstLineChars="0"/>
              <w:rPr>
                <w:rFonts w:eastAsia="仿宋"/>
                <w:color w:val="000000"/>
                <w:sz w:val="24"/>
                <w:szCs w:val="24"/>
                <w:lang w:val="en-US"/>
              </w:rPr>
            </w:pPr>
            <w:r>
              <w:rPr>
                <w:rFonts w:eastAsia="仿宋"/>
                <w:color w:val="000000"/>
                <w:sz w:val="24"/>
                <w:szCs w:val="24"/>
                <w:lang w:val="en-US"/>
              </w:rPr>
              <w:t>2</w:t>
            </w:r>
            <w:r>
              <w:rPr>
                <w:rFonts w:ascii="仿宋" w:hAnsi="仿宋" w:eastAsia="仿宋" w:cs="仿宋"/>
                <w:spacing w:val="-1"/>
                <w:sz w:val="28"/>
                <w:szCs w:val="28"/>
              </w:rPr>
              <w:t>．</w:t>
            </w:r>
            <w:r>
              <w:rPr>
                <w:rFonts w:hint="eastAsia" w:eastAsia="仿宋"/>
                <w:color w:val="000000"/>
                <w:sz w:val="24"/>
                <w:szCs w:val="24"/>
                <w:lang w:val="en-US"/>
              </w:rPr>
              <w:t>系统倒计时为0时选手开始把持钞、清点、计数、墩齐、扎把、盖章、放入篮筐。</w:t>
            </w:r>
          </w:p>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3</w:t>
            </w:r>
            <w:r>
              <w:rPr>
                <w:rFonts w:ascii="仿宋" w:hAnsi="仿宋" w:eastAsia="仿宋" w:cs="仿宋"/>
                <w:spacing w:val="-1"/>
                <w:sz w:val="28"/>
                <w:szCs w:val="28"/>
              </w:rPr>
              <w:t>．</w:t>
            </w:r>
            <w:r>
              <w:rPr>
                <w:rFonts w:hint="eastAsia" w:eastAsia="仿宋"/>
                <w:color w:val="000000"/>
                <w:sz w:val="24"/>
                <w:szCs w:val="24"/>
                <w:lang w:val="en-US"/>
              </w:rPr>
              <w:t>把点钞结果录入系统</w:t>
            </w:r>
          </w:p>
        </w:tc>
        <w:tc>
          <w:tcPr>
            <w:tcW w:w="1412" w:type="dxa"/>
            <w:noWrap w:val="0"/>
            <w:vAlign w:val="center"/>
          </w:tcPr>
          <w:p>
            <w:pPr>
              <w:pStyle w:val="15"/>
              <w:spacing w:after="0"/>
              <w:ind w:left="0" w:leftChars="0" w:firstLine="0" w:firstLineChars="0"/>
              <w:jc w:val="left"/>
              <w:rPr>
                <w:rFonts w:eastAsia="仿宋"/>
                <w:color w:val="000000"/>
                <w:sz w:val="24"/>
                <w:szCs w:val="24"/>
                <w:lang w:val="en-US"/>
              </w:rPr>
            </w:pPr>
            <w:r>
              <w:rPr>
                <w:rFonts w:hint="eastAsia" w:eastAsia="仿宋"/>
                <w:color w:val="000000"/>
                <w:sz w:val="24"/>
                <w:szCs w:val="24"/>
                <w:lang w:val="en-US"/>
              </w:rPr>
              <w:t>1</w:t>
            </w:r>
            <w:r>
              <w:rPr>
                <w:rFonts w:ascii="仿宋" w:hAnsi="仿宋" w:eastAsia="仿宋" w:cs="仿宋"/>
                <w:spacing w:val="-1"/>
                <w:sz w:val="28"/>
                <w:szCs w:val="28"/>
              </w:rPr>
              <w:t>．</w:t>
            </w:r>
            <w:r>
              <w:rPr>
                <w:rFonts w:hint="eastAsia" w:eastAsia="仿宋"/>
                <w:color w:val="000000"/>
                <w:sz w:val="24"/>
                <w:szCs w:val="24"/>
                <w:lang w:val="en-US"/>
              </w:rPr>
              <w:t>点钞手法</w:t>
            </w:r>
          </w:p>
          <w:p>
            <w:pPr>
              <w:pStyle w:val="15"/>
              <w:spacing w:after="0"/>
              <w:ind w:left="0" w:leftChars="0" w:firstLine="0" w:firstLineChars="0"/>
              <w:jc w:val="left"/>
              <w:rPr>
                <w:rFonts w:eastAsia="仿宋"/>
                <w:color w:val="000000"/>
                <w:sz w:val="24"/>
                <w:szCs w:val="24"/>
                <w:lang w:val="en-US"/>
              </w:rPr>
            </w:pPr>
            <w:r>
              <w:rPr>
                <w:rFonts w:hint="eastAsia" w:eastAsia="仿宋"/>
                <w:color w:val="000000"/>
                <w:sz w:val="24"/>
                <w:szCs w:val="24"/>
                <w:lang w:val="en-US"/>
              </w:rPr>
              <w:t>2</w:t>
            </w:r>
            <w:r>
              <w:rPr>
                <w:rFonts w:ascii="仿宋" w:hAnsi="仿宋" w:eastAsia="仿宋" w:cs="仿宋"/>
                <w:spacing w:val="-1"/>
                <w:sz w:val="28"/>
                <w:szCs w:val="28"/>
              </w:rPr>
              <w:t>．</w:t>
            </w:r>
            <w:r>
              <w:rPr>
                <w:rFonts w:hint="eastAsia" w:eastAsia="仿宋"/>
                <w:color w:val="000000"/>
                <w:sz w:val="24"/>
                <w:szCs w:val="24"/>
                <w:lang w:val="en-US"/>
              </w:rPr>
              <w:t>点钞准确度</w:t>
            </w:r>
          </w:p>
          <w:p>
            <w:pPr>
              <w:pStyle w:val="15"/>
              <w:spacing w:after="0"/>
              <w:ind w:left="0" w:leftChars="0" w:firstLine="0" w:firstLineChars="0"/>
              <w:jc w:val="left"/>
              <w:rPr>
                <w:rFonts w:eastAsia="仿宋"/>
                <w:color w:val="000000"/>
                <w:sz w:val="24"/>
                <w:szCs w:val="24"/>
                <w:lang w:val="en-US"/>
              </w:rPr>
            </w:pPr>
            <w:r>
              <w:rPr>
                <w:rFonts w:hint="eastAsia" w:eastAsia="仿宋"/>
                <w:color w:val="000000"/>
                <w:sz w:val="24"/>
                <w:szCs w:val="24"/>
                <w:lang w:val="en-US"/>
              </w:rPr>
              <w:t>3</w:t>
            </w:r>
            <w:r>
              <w:rPr>
                <w:rFonts w:ascii="仿宋" w:hAnsi="仿宋" w:eastAsia="仿宋" w:cs="仿宋"/>
                <w:spacing w:val="-1"/>
                <w:sz w:val="28"/>
                <w:szCs w:val="28"/>
              </w:rPr>
              <w:t>．</w:t>
            </w:r>
            <w:r>
              <w:rPr>
                <w:rFonts w:hint="eastAsia" w:eastAsia="仿宋"/>
                <w:color w:val="000000"/>
                <w:sz w:val="24"/>
                <w:szCs w:val="24"/>
                <w:lang w:val="en-US"/>
              </w:rPr>
              <w:t>扎把和盖章质量</w:t>
            </w:r>
          </w:p>
        </w:tc>
        <w:tc>
          <w:tcPr>
            <w:tcW w:w="723" w:type="dxa"/>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1</w:t>
            </w:r>
            <w:r>
              <w:rPr>
                <w:rFonts w:ascii="仿宋" w:hAnsi="仿宋" w:eastAsia="仿宋" w:cs="仿宋"/>
                <w:spacing w:val="-1"/>
                <w:sz w:val="28"/>
                <w:szCs w:val="28"/>
              </w:rPr>
              <w:t>．</w:t>
            </w:r>
            <w:r>
              <w:rPr>
                <w:rFonts w:hint="eastAsia" w:eastAsia="仿宋"/>
                <w:color w:val="000000"/>
                <w:sz w:val="24"/>
                <w:szCs w:val="24"/>
                <w:lang w:val="en-US"/>
              </w:rPr>
              <w:t>机考评分</w:t>
            </w:r>
          </w:p>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2</w:t>
            </w:r>
            <w:r>
              <w:rPr>
                <w:rFonts w:ascii="仿宋" w:hAnsi="仿宋" w:eastAsia="仿宋" w:cs="仿宋"/>
                <w:spacing w:val="-1"/>
                <w:sz w:val="28"/>
                <w:szCs w:val="28"/>
              </w:rPr>
              <w:t>．</w:t>
            </w:r>
            <w:r>
              <w:rPr>
                <w:rFonts w:hint="eastAsia" w:eastAsia="仿宋"/>
                <w:color w:val="000000"/>
                <w:sz w:val="24"/>
                <w:szCs w:val="24"/>
                <w:lang w:val="en-US"/>
              </w:rPr>
              <w:t>扎把质量评分</w:t>
            </w:r>
          </w:p>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3</w:t>
            </w:r>
            <w:r>
              <w:rPr>
                <w:rFonts w:ascii="仿宋" w:hAnsi="仿宋" w:eastAsia="仿宋" w:cs="仿宋"/>
                <w:spacing w:val="-1"/>
                <w:sz w:val="28"/>
                <w:szCs w:val="28"/>
              </w:rPr>
              <w:t>．</w:t>
            </w:r>
            <w:r>
              <w:rPr>
                <w:rFonts w:hint="eastAsia" w:eastAsia="仿宋"/>
                <w:color w:val="000000"/>
                <w:sz w:val="24"/>
                <w:szCs w:val="24"/>
                <w:lang w:val="en-US"/>
              </w:rPr>
              <w:t>盖章质量评分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vMerge w:val="restar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163" w:type="dxa"/>
            <w:gridSpan w:val="2"/>
            <w:noWrap w:val="0"/>
            <w:vAlign w:val="center"/>
          </w:tcPr>
          <w:p>
            <w:pPr>
              <w:pStyle w:val="15"/>
              <w:spacing w:after="0"/>
              <w:ind w:left="0" w:leftChars="0" w:firstLine="0" w:firstLineChars="0"/>
              <w:rPr>
                <w:rFonts w:hint="eastAsia" w:eastAsia="仿宋"/>
                <w:color w:val="000000"/>
                <w:sz w:val="24"/>
                <w:szCs w:val="24"/>
                <w:highlight w:val="none"/>
                <w:lang w:val="en-US"/>
              </w:rPr>
            </w:pPr>
            <w:r>
              <w:rPr>
                <w:rFonts w:hint="eastAsia" w:eastAsia="仿宋"/>
                <w:color w:val="000000"/>
                <w:sz w:val="24"/>
                <w:szCs w:val="24"/>
                <w:highlight w:val="none"/>
                <w:lang w:val="en-US"/>
              </w:rPr>
              <w:t>涉及专业教学要求</w:t>
            </w:r>
          </w:p>
        </w:tc>
        <w:tc>
          <w:tcPr>
            <w:tcW w:w="5014" w:type="dxa"/>
            <w:gridSpan w:val="4"/>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olor w:val="000000"/>
                <w:sz w:val="24"/>
                <w:szCs w:val="24"/>
                <w:lang w:val="en-US"/>
              </w:rPr>
              <w:t>熟练掌握点钞的基本方法、基本工序、基本要求</w:t>
            </w:r>
            <w:r>
              <w:rPr>
                <w:rFonts w:hint="eastAsia" w:eastAsia="仿宋"/>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vMerge w:val="continue"/>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p>
        </w:tc>
        <w:tc>
          <w:tcPr>
            <w:tcW w:w="2163" w:type="dxa"/>
            <w:gridSpan w:val="2"/>
            <w:noWrap w:val="0"/>
            <w:vAlign w:val="center"/>
          </w:tcPr>
          <w:p>
            <w:pPr>
              <w:pStyle w:val="15"/>
              <w:spacing w:after="0"/>
              <w:ind w:left="0" w:leftChars="0" w:firstLine="0" w:firstLineChars="0"/>
              <w:rPr>
                <w:rFonts w:hint="eastAsia" w:eastAsia="仿宋"/>
                <w:color w:val="000000"/>
                <w:sz w:val="24"/>
                <w:szCs w:val="24"/>
                <w:highlight w:val="none"/>
                <w:lang w:val="en-US"/>
              </w:rPr>
            </w:pPr>
            <w:r>
              <w:rPr>
                <w:rFonts w:hint="eastAsia" w:eastAsia="仿宋"/>
                <w:color w:val="000000"/>
                <w:sz w:val="24"/>
                <w:szCs w:val="24"/>
                <w:highlight w:val="none"/>
                <w:lang w:val="en-US"/>
              </w:rPr>
              <w:t>遵循国家标准和行业标准</w:t>
            </w:r>
          </w:p>
        </w:tc>
        <w:tc>
          <w:tcPr>
            <w:tcW w:w="5014" w:type="dxa"/>
            <w:gridSpan w:val="4"/>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7177" w:type="dxa"/>
            <w:gridSpan w:val="6"/>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s="Times New Roman"/>
                <w:color w:val="000000"/>
                <w:sz w:val="24"/>
                <w:szCs w:val="24"/>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7177"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sz w:val="24"/>
                <w:szCs w:val="28"/>
                <w:lang w:val="en-US" w:eastAsia="zh-CN" w:bidi="ar-SA"/>
              </w:rPr>
              <w:t>本模块</w:t>
            </w:r>
            <w:r>
              <w:rPr>
                <w:rFonts w:hint="eastAsia" w:eastAsia="仿宋"/>
                <w:sz w:val="24"/>
                <w:szCs w:val="28"/>
                <w:lang w:val="en-US" w:bidi="ar-SA"/>
              </w:rPr>
              <w:t>赛题均为竞赛系统自动随机生成产生，不需要人工出题</w:t>
            </w:r>
            <w:r>
              <w:rPr>
                <w:rFonts w:hint="eastAsia" w:eastAsia="仿宋"/>
                <w:sz w:val="24"/>
                <w:szCs w:val="28"/>
                <w:lang w:val="en-US" w:eastAsia="zh-CN" w:bidi="ar-SA"/>
              </w:rPr>
              <w:t>，</w:t>
            </w:r>
            <w:r>
              <w:rPr>
                <w:rFonts w:hint="eastAsia" w:eastAsia="仿宋"/>
                <w:color w:val="000000"/>
                <w:sz w:val="24"/>
                <w:szCs w:val="24"/>
                <w:lang w:val="en-US"/>
              </w:rPr>
              <w:t>比赛时听从裁判指令和系统提示操作</w:t>
            </w:r>
          </w:p>
        </w:tc>
      </w:tr>
    </w:tbl>
    <w:p>
      <w:pPr>
        <w:pStyle w:val="4"/>
        <w:numPr>
          <w:ilvl w:val="-1"/>
          <w:numId w:val="0"/>
        </w:numPr>
        <w:bidi w:val="0"/>
        <w:spacing w:line="360" w:lineRule="auto"/>
        <w:ind w:left="420" w:leftChars="200" w:firstLine="0"/>
        <w:outlineLvl w:val="1"/>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（2）传票算</w:t>
      </w:r>
    </w:p>
    <w:tbl>
      <w:tblPr>
        <w:tblStyle w:val="16"/>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533"/>
        <w:gridCol w:w="800"/>
        <w:gridCol w:w="1045"/>
        <w:gridCol w:w="2300"/>
        <w:gridCol w:w="1066"/>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333"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w:t>
            </w:r>
            <w:r>
              <w:rPr>
                <w:rFonts w:eastAsia="仿宋"/>
                <w:color w:val="000000"/>
                <w:sz w:val="24"/>
                <w:szCs w:val="24"/>
                <w:lang w:val="en-US"/>
              </w:rPr>
              <w:t>3</w:t>
            </w:r>
          </w:p>
        </w:tc>
        <w:tc>
          <w:tcPr>
            <w:tcW w:w="3345"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1997" w:type="dxa"/>
            <w:gridSpan w:val="2"/>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s="仿宋_GB2312"/>
                <w:sz w:val="24"/>
                <w:szCs w:val="24"/>
                <w:lang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333"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传票算</w:t>
            </w:r>
          </w:p>
        </w:tc>
        <w:tc>
          <w:tcPr>
            <w:tcW w:w="3345"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1997" w:type="dxa"/>
            <w:gridSpan w:val="2"/>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7675"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olor w:val="000000"/>
                <w:sz w:val="24"/>
                <w:szCs w:val="24"/>
                <w:highlight w:val="none"/>
                <w:lang w:val="en-US"/>
              </w:rPr>
              <w:t>总时间</w:t>
            </w:r>
            <w:r>
              <w:rPr>
                <w:rFonts w:eastAsia="仿宋"/>
                <w:color w:val="000000"/>
                <w:sz w:val="24"/>
                <w:szCs w:val="24"/>
                <w:highlight w:val="none"/>
                <w:lang w:val="en-US"/>
              </w:rPr>
              <w:t>10</w:t>
            </w:r>
            <w:r>
              <w:rPr>
                <w:rFonts w:hint="eastAsia" w:eastAsia="仿宋"/>
                <w:color w:val="000000"/>
                <w:sz w:val="24"/>
                <w:szCs w:val="24"/>
                <w:highlight w:val="none"/>
                <w:lang w:val="en-US"/>
              </w:rPr>
              <w:t>分钟，其中实施</w:t>
            </w:r>
            <w:r>
              <w:rPr>
                <w:rFonts w:hint="eastAsia" w:eastAsia="仿宋"/>
                <w:color w:val="000000"/>
                <w:sz w:val="24"/>
                <w:szCs w:val="24"/>
                <w:highlight w:val="none"/>
                <w:lang w:val="en-US" w:eastAsia="zh-CN"/>
              </w:rPr>
              <w:t>10</w:t>
            </w:r>
            <w:r>
              <w:rPr>
                <w:rFonts w:hint="eastAsia" w:eastAsia="仿宋"/>
                <w:color w:val="000000"/>
                <w:sz w:val="24"/>
                <w:szCs w:val="24"/>
                <w:highlight w:val="none"/>
                <w:lang w:val="en-US"/>
              </w:rPr>
              <w:t>分钟</w:t>
            </w:r>
            <w:r>
              <w:rPr>
                <w:rFonts w:hint="eastAsia" w:eastAsia="仿宋"/>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7675" w:type="dxa"/>
            <w:gridSpan w:val="6"/>
            <w:noWrap w:val="0"/>
            <w:vAlign w:val="center"/>
          </w:tcPr>
          <w:p>
            <w:pPr>
              <w:pStyle w:val="15"/>
              <w:spacing w:after="0"/>
              <w:ind w:left="0" w:leftChars="0" w:firstLine="0" w:firstLineChars="0"/>
              <w:rPr>
                <w:rFonts w:hint="eastAsia" w:ascii="仿宋" w:hAnsi="仿宋" w:eastAsia="仿宋" w:cs="仿宋"/>
                <w:sz w:val="24"/>
                <w:szCs w:val="28"/>
                <w:lang w:val="en-US"/>
              </w:rPr>
            </w:pPr>
            <w:r>
              <w:rPr>
                <w:rFonts w:hint="eastAsia" w:ascii="仿宋" w:hAnsi="仿宋" w:eastAsia="仿宋" w:cs="仿宋"/>
                <w:sz w:val="24"/>
                <w:szCs w:val="28"/>
                <w:lang w:val="en-US"/>
              </w:rPr>
              <w:t>赛前由系统随机生成不同传票类型（AB、CD、EF型）和页码范围赛题，页码范围为连续的30页。选手在计算器和Excel表中任选一种工具进行计算（考虑到实际工作中不同地区、不同银行采用的工具不同，而比赛重在结果，故不强行指定一种工具），并将计算结果输入到竞赛平台中，系统自动评分</w:t>
            </w:r>
          </w:p>
          <w:p>
            <w:pPr>
              <w:rPr>
                <w:rFonts w:hint="eastAsia"/>
                <w:lang w:val="en-US"/>
              </w:rPr>
            </w:pPr>
            <w:r>
              <w:rPr>
                <w:rFonts w:hint="eastAsia"/>
              </w:rPr>
              <w:drawing>
                <wp:inline distT="0" distB="0" distL="114300" distR="114300">
                  <wp:extent cx="4819015" cy="2399030"/>
                  <wp:effectExtent l="9525" t="9525" r="17780" b="14605"/>
                  <wp:docPr id="44" name="图片 44" descr="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传票"/>
                          <pic:cNvPicPr>
                            <a:picLocks noChangeAspect="1"/>
                          </pic:cNvPicPr>
                        </pic:nvPicPr>
                        <pic:blipFill>
                          <a:blip r:embed="rId7"/>
                          <a:stretch>
                            <a:fillRect/>
                          </a:stretch>
                        </pic:blipFill>
                        <pic:spPr>
                          <a:xfrm>
                            <a:off x="0" y="0"/>
                            <a:ext cx="4819015" cy="2399030"/>
                          </a:xfrm>
                          <a:prstGeom prst="rect">
                            <a:avLst/>
                          </a:prstGeom>
                          <a:ln>
                            <a:solidFill>
                              <a:srgbClr val="FF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7675" w:type="dxa"/>
            <w:gridSpan w:val="6"/>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A3"/>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A3"/>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A3"/>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restar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533"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845"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2300"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1066"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9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continue"/>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p>
        </w:tc>
        <w:tc>
          <w:tcPr>
            <w:tcW w:w="1533" w:type="dxa"/>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子任务1-1</w:t>
            </w:r>
          </w:p>
        </w:tc>
        <w:tc>
          <w:tcPr>
            <w:tcW w:w="1845"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按竞赛系统显示页码范围进行翻打传票数据录入计算，并将计算结果录入竞赛系统</w:t>
            </w:r>
          </w:p>
        </w:tc>
        <w:tc>
          <w:tcPr>
            <w:tcW w:w="2300"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1、听从裁判指令准备调试计算器或e</w:t>
            </w:r>
            <w:r>
              <w:rPr>
                <w:rFonts w:eastAsia="仿宋"/>
                <w:color w:val="000000"/>
                <w:sz w:val="24"/>
                <w:szCs w:val="24"/>
                <w:lang w:val="en-US"/>
              </w:rPr>
              <w:t>xcel</w:t>
            </w:r>
            <w:r>
              <w:rPr>
                <w:rFonts w:hint="eastAsia" w:eastAsia="仿宋"/>
                <w:color w:val="000000"/>
                <w:sz w:val="24"/>
                <w:szCs w:val="24"/>
                <w:lang w:val="en-US"/>
              </w:rPr>
              <w:t>表格</w:t>
            </w:r>
          </w:p>
          <w:p>
            <w:pPr>
              <w:pStyle w:val="15"/>
              <w:spacing w:after="0"/>
              <w:ind w:left="0" w:leftChars="0" w:firstLine="0" w:firstLineChars="0"/>
              <w:rPr>
                <w:rFonts w:eastAsia="仿宋"/>
                <w:color w:val="000000"/>
                <w:sz w:val="24"/>
                <w:szCs w:val="24"/>
                <w:lang w:val="en-US"/>
              </w:rPr>
            </w:pPr>
            <w:r>
              <w:rPr>
                <w:rFonts w:eastAsia="仿宋"/>
                <w:color w:val="000000"/>
                <w:sz w:val="24"/>
                <w:szCs w:val="24"/>
                <w:lang w:val="en-US"/>
              </w:rPr>
              <w:t>2</w:t>
            </w:r>
            <w:r>
              <w:rPr>
                <w:rFonts w:hint="eastAsia" w:eastAsia="仿宋"/>
                <w:color w:val="000000"/>
                <w:sz w:val="24"/>
                <w:szCs w:val="24"/>
                <w:lang w:val="en-US"/>
              </w:rPr>
              <w:t>、系统倒计时为0时选手开始翻打传票</w:t>
            </w:r>
          </w:p>
          <w:p>
            <w:pPr>
              <w:pStyle w:val="15"/>
              <w:spacing w:after="0"/>
              <w:ind w:left="0" w:leftChars="0" w:firstLine="0" w:firstLineChars="0"/>
              <w:rPr>
                <w:rFonts w:hint="eastAsia" w:eastAsia="仿宋"/>
                <w:color w:val="000000"/>
                <w:sz w:val="24"/>
                <w:szCs w:val="24"/>
                <w:lang w:val="en-US"/>
              </w:rPr>
            </w:pPr>
            <w:r>
              <w:rPr>
                <w:rFonts w:eastAsia="仿宋"/>
                <w:color w:val="000000"/>
                <w:sz w:val="24"/>
                <w:szCs w:val="24"/>
                <w:lang w:val="en-US"/>
              </w:rPr>
              <w:t>3</w:t>
            </w:r>
            <w:r>
              <w:rPr>
                <w:rFonts w:hint="eastAsia" w:eastAsia="仿宋"/>
                <w:color w:val="000000"/>
                <w:sz w:val="24"/>
                <w:szCs w:val="24"/>
                <w:lang w:val="en-US"/>
              </w:rPr>
              <w:t>、将计算结果录入竞赛系统</w:t>
            </w:r>
          </w:p>
        </w:tc>
        <w:tc>
          <w:tcPr>
            <w:tcW w:w="1066"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传票翻打速度、准确度</w:t>
            </w:r>
          </w:p>
        </w:tc>
        <w:tc>
          <w:tcPr>
            <w:tcW w:w="931"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restar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333"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涉及专业教学要求</w:t>
            </w:r>
          </w:p>
        </w:tc>
        <w:tc>
          <w:tcPr>
            <w:tcW w:w="5342" w:type="dxa"/>
            <w:gridSpan w:val="4"/>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olor w:val="000000"/>
                <w:sz w:val="24"/>
                <w:szCs w:val="24"/>
                <w:lang w:val="en-US"/>
              </w:rPr>
              <w:t>熟练掌握计算器、计算机小键盘、e</w:t>
            </w:r>
            <w:r>
              <w:rPr>
                <w:rFonts w:eastAsia="仿宋"/>
                <w:color w:val="000000"/>
                <w:sz w:val="24"/>
                <w:szCs w:val="24"/>
                <w:lang w:val="en-US"/>
              </w:rPr>
              <w:t>xcel</w:t>
            </w:r>
            <w:r>
              <w:rPr>
                <w:rFonts w:hint="eastAsia" w:eastAsia="仿宋"/>
                <w:color w:val="000000"/>
                <w:sz w:val="24"/>
                <w:szCs w:val="24"/>
                <w:lang w:val="en-US"/>
              </w:rPr>
              <w:t>表格的运用</w:t>
            </w:r>
            <w:r>
              <w:rPr>
                <w:rFonts w:hint="eastAsia" w:eastAsia="仿宋"/>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continue"/>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p>
        </w:tc>
        <w:tc>
          <w:tcPr>
            <w:tcW w:w="2333"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遵循国家标准和行业标准</w:t>
            </w:r>
          </w:p>
        </w:tc>
        <w:tc>
          <w:tcPr>
            <w:tcW w:w="5342" w:type="dxa"/>
            <w:gridSpan w:val="4"/>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7675"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7675"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sz w:val="24"/>
                <w:szCs w:val="28"/>
                <w:lang w:val="en-US" w:eastAsia="zh-CN" w:bidi="ar-SA"/>
              </w:rPr>
              <w:t>本模块</w:t>
            </w:r>
            <w:r>
              <w:rPr>
                <w:rFonts w:hint="eastAsia" w:eastAsia="仿宋"/>
                <w:sz w:val="24"/>
                <w:szCs w:val="28"/>
                <w:lang w:val="en-US" w:bidi="ar-SA"/>
              </w:rPr>
              <w:t>赛题均为竞赛系统自动随机生成产生，不需要人工出题</w:t>
            </w:r>
            <w:r>
              <w:rPr>
                <w:rFonts w:hint="eastAsia" w:eastAsia="仿宋"/>
                <w:sz w:val="24"/>
                <w:szCs w:val="28"/>
                <w:lang w:val="en-US" w:eastAsia="zh-CN" w:bidi="ar-SA"/>
              </w:rPr>
              <w:t>，</w:t>
            </w:r>
            <w:r>
              <w:rPr>
                <w:rFonts w:hint="eastAsia" w:eastAsia="仿宋"/>
                <w:color w:val="000000"/>
                <w:sz w:val="24"/>
                <w:szCs w:val="24"/>
                <w:lang w:val="en-US" w:eastAsia="zh-CN"/>
              </w:rPr>
              <w:t>比赛时听从裁判指令和系统提示操作</w:t>
            </w:r>
          </w:p>
        </w:tc>
      </w:tr>
    </w:tbl>
    <w:p>
      <w:pPr>
        <w:pStyle w:val="4"/>
        <w:numPr>
          <w:ilvl w:val="-1"/>
          <w:numId w:val="0"/>
        </w:numPr>
        <w:bidi w:val="0"/>
        <w:spacing w:line="360" w:lineRule="auto"/>
        <w:ind w:left="420" w:leftChars="200" w:firstLine="0"/>
        <w:outlineLvl w:val="1"/>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（3）字符录入</w:t>
      </w:r>
    </w:p>
    <w:tbl>
      <w:tblPr>
        <w:tblStyle w:val="16"/>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456"/>
        <w:gridCol w:w="823"/>
        <w:gridCol w:w="833"/>
        <w:gridCol w:w="2322"/>
        <w:gridCol w:w="142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279"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w:t>
            </w:r>
            <w:r>
              <w:rPr>
                <w:rFonts w:eastAsia="仿宋"/>
                <w:color w:val="000000"/>
                <w:sz w:val="24"/>
                <w:szCs w:val="24"/>
                <w:lang w:val="en-US"/>
              </w:rPr>
              <w:t>4</w:t>
            </w:r>
          </w:p>
        </w:tc>
        <w:tc>
          <w:tcPr>
            <w:tcW w:w="3155"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2225" w:type="dxa"/>
            <w:gridSpan w:val="2"/>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s="仿宋_GB2312"/>
                <w:sz w:val="24"/>
                <w:szCs w:val="24"/>
                <w:lang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279"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字符录入</w:t>
            </w:r>
          </w:p>
        </w:tc>
        <w:tc>
          <w:tcPr>
            <w:tcW w:w="3155"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2225" w:type="dxa"/>
            <w:gridSpan w:val="2"/>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7659"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olor w:val="000000"/>
                <w:sz w:val="24"/>
                <w:szCs w:val="24"/>
                <w:highlight w:val="none"/>
                <w:lang w:val="en-US"/>
              </w:rPr>
              <w:t>总时间</w:t>
            </w:r>
            <w:r>
              <w:rPr>
                <w:rFonts w:eastAsia="仿宋"/>
                <w:color w:val="000000"/>
                <w:sz w:val="24"/>
                <w:szCs w:val="24"/>
                <w:highlight w:val="none"/>
                <w:lang w:val="en-US"/>
              </w:rPr>
              <w:t>10</w:t>
            </w:r>
            <w:r>
              <w:rPr>
                <w:rFonts w:hint="eastAsia" w:eastAsia="仿宋"/>
                <w:color w:val="000000"/>
                <w:sz w:val="24"/>
                <w:szCs w:val="24"/>
                <w:highlight w:val="none"/>
                <w:lang w:val="en-US"/>
              </w:rPr>
              <w:t>分钟，其中实施</w:t>
            </w:r>
            <w:r>
              <w:rPr>
                <w:rFonts w:hint="eastAsia" w:eastAsia="仿宋"/>
                <w:color w:val="000000"/>
                <w:sz w:val="24"/>
                <w:szCs w:val="24"/>
                <w:highlight w:val="none"/>
                <w:lang w:val="en-US" w:eastAsia="zh-CN"/>
              </w:rPr>
              <w:t>10</w:t>
            </w:r>
            <w:r>
              <w:rPr>
                <w:rFonts w:hint="eastAsia" w:eastAsia="仿宋"/>
                <w:color w:val="000000"/>
                <w:sz w:val="24"/>
                <w:szCs w:val="24"/>
                <w:highlight w:val="none"/>
                <w:lang w:val="en-US"/>
              </w:rPr>
              <w:t>分钟</w:t>
            </w:r>
            <w:r>
              <w:rPr>
                <w:rFonts w:hint="eastAsia" w:eastAsia="仿宋"/>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7659" w:type="dxa"/>
            <w:gridSpan w:val="6"/>
            <w:noWrap w:val="0"/>
            <w:vAlign w:val="center"/>
          </w:tcPr>
          <w:p>
            <w:pPr>
              <w:pStyle w:val="15"/>
              <w:spacing w:after="0"/>
              <w:ind w:left="0" w:leftChars="0" w:firstLine="0" w:firstLineChars="0"/>
              <w:rPr>
                <w:rFonts w:hint="eastAsia" w:ascii="仿宋" w:hAnsi="仿宋" w:eastAsia="仿宋" w:cs="仿宋"/>
                <w:sz w:val="24"/>
                <w:szCs w:val="24"/>
                <w:lang w:val="en-US"/>
              </w:rPr>
            </w:pPr>
            <w:r>
              <w:rPr>
                <w:rFonts w:hint="eastAsia" w:ascii="仿宋" w:hAnsi="仿宋" w:eastAsia="仿宋" w:cs="仿宋"/>
                <w:sz w:val="24"/>
                <w:szCs w:val="24"/>
                <w:lang w:val="en-US"/>
              </w:rPr>
              <w:t>赛前系统随机生成1600个字符，系统提供对照原文进行字符输入环境，系统自动根据选手在10分钟内完成的数量和正确率评分。竞赛电脑中预装极品五笔、搜狗拼音、搜狗五笔、微软全拼、万能五笔等输入法，参赛选手可采用上述输入法进行比赛，竞赛电脑系统中未预装的输入法不得采用</w:t>
            </w:r>
          </w:p>
          <w:p>
            <w:pPr>
              <w:rPr>
                <w:rFonts w:hint="eastAsia"/>
                <w:lang w:val="en-US"/>
              </w:rPr>
            </w:pPr>
            <w:r>
              <w:rPr>
                <w:rFonts w:hint="eastAsia" w:ascii="仿宋_GB2312" w:hAnsi="仿宋_GB2312" w:eastAsia="仿宋_GB2312" w:cs="仿宋_GB2312"/>
                <w:sz w:val="28"/>
                <w:szCs w:val="28"/>
              </w:rPr>
              <w:drawing>
                <wp:inline distT="0" distB="0" distL="0" distR="0">
                  <wp:extent cx="4870450" cy="2997200"/>
                  <wp:effectExtent l="9525" t="9525" r="12065" b="10795"/>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0450" cy="2997200"/>
                          </a:xfrm>
                          <a:prstGeom prst="rect">
                            <a:avLst/>
                          </a:prstGeom>
                          <a:ln>
                            <a:solidFill>
                              <a:srgbClr val="FF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7659" w:type="dxa"/>
            <w:gridSpan w:val="6"/>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A3"/>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A3"/>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A3"/>
            </w:r>
            <w:r>
              <w:rPr>
                <w:rFonts w:hint="eastAsia" w:eastAsia="仿宋"/>
                <w:color w:val="000000"/>
                <w:sz w:val="24"/>
                <w:szCs w:val="24"/>
                <w:lang w:val="en-US"/>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vMerge w:val="restar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456"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656"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2322"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1422"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803"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jc w:val="center"/>
        </w:trPr>
        <w:tc>
          <w:tcPr>
            <w:tcW w:w="1554" w:type="dxa"/>
            <w:vMerge w:val="continue"/>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p>
        </w:tc>
        <w:tc>
          <w:tcPr>
            <w:tcW w:w="1456" w:type="dxa"/>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子任务1-1</w:t>
            </w:r>
          </w:p>
        </w:tc>
        <w:tc>
          <w:tcPr>
            <w:tcW w:w="1656"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按照系统提供字符录入界面对照原文进行字符录入</w:t>
            </w:r>
          </w:p>
        </w:tc>
        <w:tc>
          <w:tcPr>
            <w:tcW w:w="2322"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1、听从裁判口令调试计算机键盘和切换输入法</w:t>
            </w:r>
          </w:p>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2、系统倒计时为0时开始按顺序字符录入，不可跳行录入</w:t>
            </w:r>
          </w:p>
        </w:tc>
        <w:tc>
          <w:tcPr>
            <w:tcW w:w="1422"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1、计算机键盘熟练程度</w:t>
            </w:r>
          </w:p>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2、五笔拼音打字速度和准确度</w:t>
            </w:r>
          </w:p>
        </w:tc>
        <w:tc>
          <w:tcPr>
            <w:tcW w:w="803" w:type="dxa"/>
            <w:noWrap w:val="0"/>
            <w:vAlign w:val="center"/>
          </w:tcPr>
          <w:p>
            <w:pPr>
              <w:pStyle w:val="15"/>
              <w:spacing w:after="0"/>
              <w:ind w:left="0" w:leftChars="0" w:firstLine="0" w:firstLineChars="0"/>
              <w:rPr>
                <w:rFonts w:eastAsia="仿宋"/>
                <w:color w:val="000000"/>
                <w:sz w:val="24"/>
                <w:szCs w:val="24"/>
                <w:lang w:val="en-US"/>
              </w:rPr>
            </w:pPr>
            <w:r>
              <w:rPr>
                <w:rFonts w:hint="eastAsia" w:eastAsia="仿宋"/>
                <w:color w:val="000000"/>
                <w:sz w:val="24"/>
                <w:szCs w:val="24"/>
                <w:lang w:val="en-US"/>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vMerge w:val="restart"/>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279"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涉及专业教学要求</w:t>
            </w:r>
          </w:p>
        </w:tc>
        <w:tc>
          <w:tcPr>
            <w:tcW w:w="5380" w:type="dxa"/>
            <w:gridSpan w:val="4"/>
            <w:noWrap w:val="0"/>
            <w:vAlign w:val="center"/>
          </w:tcPr>
          <w:p>
            <w:pPr>
              <w:pStyle w:val="15"/>
              <w:spacing w:after="0"/>
              <w:ind w:left="0" w:leftChars="0" w:firstLine="0" w:firstLineChars="0"/>
              <w:rPr>
                <w:rFonts w:hint="default" w:eastAsia="仿宋"/>
                <w:color w:val="000000"/>
                <w:sz w:val="24"/>
                <w:szCs w:val="24"/>
                <w:lang w:val="en-US" w:eastAsia="zh-CN"/>
              </w:rPr>
            </w:pPr>
            <w:r>
              <w:rPr>
                <w:rFonts w:hint="eastAsia" w:eastAsia="仿宋"/>
                <w:color w:val="000000"/>
                <w:sz w:val="24"/>
                <w:szCs w:val="24"/>
                <w:lang w:val="en-US"/>
              </w:rPr>
              <w:t>熟练掌握计算机键盘布局、五笔输入法、拼音输入法的运用</w:t>
            </w:r>
            <w:r>
              <w:rPr>
                <w:rFonts w:hint="eastAsia" w:eastAsia="仿宋"/>
                <w:color w:val="000000"/>
                <w:sz w:val="24"/>
                <w:szCs w:val="24"/>
                <w:lang w:val="en-US" w:eastAsia="zh-CN"/>
              </w:rPr>
              <w:t>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vMerge w:val="continue"/>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p>
        </w:tc>
        <w:tc>
          <w:tcPr>
            <w:tcW w:w="2279" w:type="dxa"/>
            <w:gridSpan w:val="2"/>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遵循国家标准和行业标准</w:t>
            </w:r>
          </w:p>
        </w:tc>
        <w:tc>
          <w:tcPr>
            <w:tcW w:w="5380" w:type="dxa"/>
            <w:gridSpan w:val="4"/>
            <w:noWrap w:val="0"/>
            <w:vAlign w:val="center"/>
          </w:tcPr>
          <w:p>
            <w:pPr>
              <w:pStyle w:val="15"/>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7659"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7659" w:type="dxa"/>
            <w:gridSpan w:val="6"/>
            <w:noWrap w:val="0"/>
            <w:vAlign w:val="center"/>
          </w:tcPr>
          <w:p>
            <w:pPr>
              <w:pStyle w:val="15"/>
              <w:spacing w:after="0"/>
              <w:ind w:left="0" w:leftChars="0" w:firstLine="0" w:firstLineChars="0"/>
              <w:rPr>
                <w:rFonts w:hint="eastAsia" w:eastAsia="仿宋"/>
                <w:color w:val="000000"/>
                <w:sz w:val="24"/>
                <w:szCs w:val="24"/>
                <w:lang w:val="en-US" w:eastAsia="zh-CN"/>
              </w:rPr>
            </w:pPr>
            <w:r>
              <w:rPr>
                <w:rFonts w:hint="eastAsia" w:eastAsia="仿宋"/>
                <w:sz w:val="24"/>
                <w:szCs w:val="28"/>
                <w:lang w:val="en-US" w:eastAsia="zh-CN" w:bidi="ar-SA"/>
              </w:rPr>
              <w:t>本模块</w:t>
            </w:r>
            <w:r>
              <w:rPr>
                <w:rFonts w:hint="eastAsia" w:eastAsia="仿宋"/>
                <w:sz w:val="24"/>
                <w:szCs w:val="28"/>
                <w:lang w:val="en-US" w:bidi="ar-SA"/>
              </w:rPr>
              <w:t>赛题均为竞赛系统自动随机生成产生，不需要人工出题</w:t>
            </w:r>
            <w:r>
              <w:rPr>
                <w:rFonts w:hint="eastAsia" w:eastAsia="仿宋"/>
                <w:sz w:val="24"/>
                <w:szCs w:val="28"/>
                <w:lang w:val="en-US" w:eastAsia="zh-CN" w:bidi="ar-SA"/>
              </w:rPr>
              <w:t>，</w:t>
            </w:r>
            <w:r>
              <w:rPr>
                <w:rFonts w:hint="eastAsia" w:eastAsia="仿宋"/>
                <w:color w:val="000000"/>
                <w:sz w:val="24"/>
                <w:szCs w:val="24"/>
                <w:lang w:val="en-US" w:eastAsia="zh-CN"/>
              </w:rPr>
              <w:t>比赛时听从裁判指令和系统提示操作</w:t>
            </w:r>
          </w:p>
        </w:tc>
      </w:tr>
    </w:tbl>
    <w:p>
      <w:pPr>
        <w:pStyle w:val="4"/>
        <w:numPr>
          <w:ilvl w:val="-1"/>
          <w:numId w:val="0"/>
        </w:numPr>
        <w:bidi w:val="0"/>
        <w:spacing w:line="360" w:lineRule="auto"/>
        <w:ind w:left="420" w:leftChars="200" w:firstLine="0"/>
        <w:outlineLvl w:val="1"/>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（4）货币防伪与鉴别</w:t>
      </w:r>
    </w:p>
    <w:p>
      <w:pPr>
        <w:jc w:val="both"/>
        <w:rPr>
          <w:b/>
          <w:color w:val="000000"/>
          <w:sz w:val="24"/>
          <w:szCs w:val="24"/>
          <w:lang w:val="en-US"/>
        </w:rPr>
      </w:pPr>
      <w:r>
        <w:rPr>
          <w:rFonts w:hint="eastAsia"/>
          <w:b/>
          <w:color w:val="000000"/>
          <w:sz w:val="24"/>
          <w:szCs w:val="24"/>
          <w:lang w:val="en-US" w:eastAsia="zh-CN"/>
        </w:rPr>
        <w:t>1.</w:t>
      </w:r>
      <w:r>
        <w:rPr>
          <w:rFonts w:hint="eastAsia"/>
          <w:b/>
          <w:color w:val="000000"/>
          <w:sz w:val="24"/>
          <w:szCs w:val="24"/>
          <w:lang w:val="en-US"/>
        </w:rPr>
        <w:t>单选题</w:t>
      </w:r>
    </w:p>
    <w:tbl>
      <w:tblPr>
        <w:tblStyle w:val="16"/>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3"/>
        <w:gridCol w:w="2909"/>
        <w:gridCol w:w="952"/>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09" w:type="dxa"/>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cs="仿宋_GB2312"/>
                <w:sz w:val="24"/>
                <w:szCs w:val="24"/>
              </w:rPr>
              <w:t>智慧金融</w:t>
            </w:r>
          </w:p>
        </w:tc>
        <w:tc>
          <w:tcPr>
            <w:tcW w:w="952"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1571" w:type="dxa"/>
            <w:noWrap w:val="0"/>
            <w:vAlign w:val="center"/>
          </w:tcPr>
          <w:p>
            <w:pPr>
              <w:pStyle w:val="10"/>
              <w:ind w:left="0" w:leftChars="0" w:firstLine="0" w:firstLineChars="0"/>
              <w:jc w:val="center"/>
              <w:rPr>
                <w:rFonts w:hint="eastAsia" w:ascii="仿宋" w:hAnsi="仿宋" w:eastAsia="仿宋" w:cs="仿宋_GB2312"/>
              </w:rPr>
            </w:pPr>
            <w:r>
              <w:rPr>
                <w:rFonts w:hint="eastAsia" w:ascii="仿宋" w:hAnsi="仿宋" w:eastAsia="仿宋" w:cs="仿宋_GB2312"/>
                <w:sz w:val="24"/>
                <w:szCs w:val="24"/>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09"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ascii="仿宋" w:hAnsi="仿宋" w:eastAsia="仿宋" w:cs="仿宋"/>
                <w:sz w:val="24"/>
                <w:szCs w:val="24"/>
                <w:lang w:eastAsia="zh-CN"/>
              </w:rPr>
              <w:t>GZ044</w:t>
            </w:r>
          </w:p>
        </w:tc>
        <w:tc>
          <w:tcPr>
            <w:tcW w:w="952" w:type="dxa"/>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1571"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cs="仿宋_GB2312"/>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15" w:type="dxa"/>
            <w:gridSpan w:val="4"/>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2"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252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2"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c>
          <w:tcPr>
            <w:tcW w:w="252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2"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252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2909" w:type="dxa"/>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952"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1571" w:type="dxa"/>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1.第五套人民币2005版公告发行时间是（    ）。</w:t>
            </w:r>
          </w:p>
        </w:tc>
        <w:tc>
          <w:tcPr>
            <w:tcW w:w="290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A</w:t>
            </w:r>
            <w:r>
              <w:rPr>
                <w:rFonts w:hint="eastAsia" w:ascii="仿宋" w:hAnsi="仿宋" w:eastAsia="仿宋" w:cs="仿宋"/>
                <w:sz w:val="24"/>
                <w:szCs w:val="24"/>
                <w:lang w:eastAsia="zh-CN"/>
              </w:rPr>
              <w:t xml:space="preserve"> </w:t>
            </w:r>
            <w:r>
              <w:rPr>
                <w:rFonts w:hint="eastAsia" w:ascii="仿宋" w:hAnsi="仿宋" w:eastAsia="仿宋" w:cs="仿宋"/>
                <w:sz w:val="24"/>
                <w:szCs w:val="24"/>
              </w:rPr>
              <w:t>2005年9月1日</w:t>
            </w:r>
          </w:p>
          <w:p>
            <w:pPr>
              <w:rPr>
                <w:rFonts w:hint="eastAsia" w:ascii="仿宋" w:hAnsi="仿宋" w:eastAsia="仿宋" w:cs="仿宋"/>
                <w:sz w:val="24"/>
                <w:szCs w:val="24"/>
              </w:rPr>
            </w:pPr>
            <w:r>
              <w:rPr>
                <w:rFonts w:hint="eastAsia" w:ascii="仿宋" w:hAnsi="仿宋" w:eastAsia="仿宋" w:cs="仿宋"/>
                <w:sz w:val="24"/>
                <w:szCs w:val="24"/>
              </w:rPr>
              <w:t>B</w:t>
            </w:r>
            <w:r>
              <w:rPr>
                <w:rFonts w:hint="eastAsia" w:ascii="仿宋" w:hAnsi="仿宋" w:eastAsia="仿宋" w:cs="仿宋"/>
                <w:sz w:val="24"/>
                <w:szCs w:val="24"/>
                <w:lang w:eastAsia="zh-CN"/>
              </w:rPr>
              <w:t xml:space="preserve"> </w:t>
            </w:r>
            <w:r>
              <w:rPr>
                <w:rFonts w:hint="eastAsia" w:ascii="仿宋" w:hAnsi="仿宋" w:eastAsia="仿宋" w:cs="仿宋"/>
                <w:sz w:val="24"/>
                <w:szCs w:val="24"/>
              </w:rPr>
              <w:t>2005年8月31日</w:t>
            </w:r>
          </w:p>
          <w:p>
            <w:pPr>
              <w:rPr>
                <w:rFonts w:hint="eastAsia" w:ascii="仿宋" w:hAnsi="仿宋" w:eastAsia="仿宋" w:cs="仿宋"/>
                <w:sz w:val="24"/>
                <w:szCs w:val="24"/>
              </w:rPr>
            </w:pPr>
            <w:r>
              <w:rPr>
                <w:rFonts w:hint="eastAsia" w:ascii="仿宋" w:hAnsi="仿宋" w:eastAsia="仿宋" w:cs="仿宋"/>
                <w:sz w:val="24"/>
                <w:szCs w:val="24"/>
              </w:rPr>
              <w:t>C</w:t>
            </w:r>
            <w:r>
              <w:rPr>
                <w:rFonts w:hint="eastAsia" w:ascii="仿宋" w:hAnsi="仿宋" w:eastAsia="仿宋" w:cs="仿宋"/>
                <w:sz w:val="24"/>
                <w:szCs w:val="24"/>
                <w:lang w:eastAsia="zh-CN"/>
              </w:rPr>
              <w:t xml:space="preserve"> </w:t>
            </w:r>
            <w:r>
              <w:rPr>
                <w:rFonts w:hint="eastAsia" w:ascii="仿宋" w:hAnsi="仿宋" w:eastAsia="仿宋" w:cs="仿宋"/>
                <w:sz w:val="24"/>
                <w:szCs w:val="24"/>
              </w:rPr>
              <w:t>2005年10月1日</w:t>
            </w:r>
          </w:p>
        </w:tc>
        <w:tc>
          <w:tcPr>
            <w:tcW w:w="952"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B</w:t>
            </w:r>
          </w:p>
        </w:tc>
        <w:tc>
          <w:tcPr>
            <w:tcW w:w="1571"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2.固定天安门水印是第（    ）套人民币采用的水印图案。</w:t>
            </w:r>
          </w:p>
        </w:tc>
        <w:tc>
          <w:tcPr>
            <w:tcW w:w="290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A</w:t>
            </w:r>
            <w:r>
              <w:rPr>
                <w:rFonts w:hint="eastAsia" w:ascii="仿宋" w:hAnsi="仿宋" w:eastAsia="仿宋" w:cs="仿宋"/>
                <w:sz w:val="24"/>
                <w:szCs w:val="24"/>
                <w:lang w:eastAsia="zh-CN"/>
              </w:rPr>
              <w:t xml:space="preserve"> </w:t>
            </w:r>
            <w:r>
              <w:rPr>
                <w:rFonts w:hint="eastAsia" w:ascii="仿宋" w:hAnsi="仿宋" w:eastAsia="仿宋" w:cs="仿宋"/>
                <w:sz w:val="24"/>
                <w:szCs w:val="24"/>
              </w:rPr>
              <w:t>二</w:t>
            </w:r>
          </w:p>
          <w:p>
            <w:pPr>
              <w:rPr>
                <w:rFonts w:hint="eastAsia" w:ascii="仿宋" w:hAnsi="仿宋" w:eastAsia="仿宋" w:cs="仿宋"/>
                <w:sz w:val="24"/>
                <w:szCs w:val="24"/>
              </w:rPr>
            </w:pPr>
            <w:r>
              <w:rPr>
                <w:rFonts w:hint="eastAsia" w:ascii="仿宋" w:hAnsi="仿宋" w:eastAsia="仿宋" w:cs="仿宋"/>
                <w:sz w:val="24"/>
                <w:szCs w:val="24"/>
              </w:rPr>
              <w:t>B</w:t>
            </w:r>
            <w:r>
              <w:rPr>
                <w:rFonts w:hint="eastAsia" w:ascii="仿宋" w:hAnsi="仿宋" w:eastAsia="仿宋" w:cs="仿宋"/>
                <w:sz w:val="24"/>
                <w:szCs w:val="24"/>
                <w:lang w:eastAsia="zh-CN"/>
              </w:rPr>
              <w:t xml:space="preserve"> </w:t>
            </w:r>
            <w:r>
              <w:rPr>
                <w:rFonts w:hint="eastAsia" w:ascii="仿宋" w:hAnsi="仿宋" w:eastAsia="仿宋" w:cs="仿宋"/>
                <w:sz w:val="24"/>
                <w:szCs w:val="24"/>
              </w:rPr>
              <w:t>三</w:t>
            </w:r>
          </w:p>
          <w:p>
            <w:pPr>
              <w:rPr>
                <w:rFonts w:hint="eastAsia" w:ascii="仿宋" w:hAnsi="仿宋" w:eastAsia="仿宋" w:cs="仿宋"/>
                <w:sz w:val="24"/>
                <w:szCs w:val="24"/>
              </w:rPr>
            </w:pPr>
            <w:r>
              <w:rPr>
                <w:rFonts w:hint="eastAsia" w:ascii="仿宋" w:hAnsi="仿宋" w:eastAsia="仿宋" w:cs="仿宋"/>
                <w:sz w:val="24"/>
                <w:szCs w:val="24"/>
              </w:rPr>
              <w:t>C</w:t>
            </w:r>
            <w:r>
              <w:rPr>
                <w:rFonts w:hint="eastAsia" w:ascii="仿宋" w:hAnsi="仿宋" w:eastAsia="仿宋" w:cs="仿宋"/>
                <w:sz w:val="24"/>
                <w:szCs w:val="24"/>
                <w:lang w:eastAsia="zh-CN"/>
              </w:rPr>
              <w:t xml:space="preserve"> </w:t>
            </w:r>
            <w:r>
              <w:rPr>
                <w:rFonts w:hint="eastAsia" w:ascii="仿宋" w:hAnsi="仿宋" w:eastAsia="仿宋" w:cs="仿宋"/>
                <w:sz w:val="24"/>
                <w:szCs w:val="24"/>
              </w:rPr>
              <w:t>四</w:t>
            </w:r>
          </w:p>
          <w:p>
            <w:pPr>
              <w:rPr>
                <w:rFonts w:hint="eastAsia" w:ascii="仿宋" w:hAnsi="仿宋" w:eastAsia="仿宋" w:cs="仿宋"/>
                <w:sz w:val="24"/>
                <w:szCs w:val="24"/>
              </w:rPr>
            </w:pPr>
            <w:r>
              <w:rPr>
                <w:rFonts w:hint="eastAsia" w:ascii="仿宋" w:hAnsi="仿宋" w:eastAsia="仿宋" w:cs="仿宋"/>
                <w:sz w:val="24"/>
                <w:szCs w:val="24"/>
              </w:rPr>
              <w:t>D</w:t>
            </w:r>
            <w:r>
              <w:rPr>
                <w:rFonts w:hint="eastAsia" w:ascii="仿宋" w:hAnsi="仿宋" w:eastAsia="仿宋" w:cs="仿宋"/>
                <w:sz w:val="24"/>
                <w:szCs w:val="24"/>
                <w:lang w:eastAsia="zh-CN"/>
              </w:rPr>
              <w:t xml:space="preserve"> </w:t>
            </w:r>
            <w:r>
              <w:rPr>
                <w:rFonts w:hint="eastAsia" w:ascii="仿宋" w:hAnsi="仿宋" w:eastAsia="仿宋" w:cs="仿宋"/>
                <w:sz w:val="24"/>
                <w:szCs w:val="24"/>
              </w:rPr>
              <w:t>五</w:t>
            </w:r>
          </w:p>
        </w:tc>
        <w:tc>
          <w:tcPr>
            <w:tcW w:w="952"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B</w:t>
            </w:r>
          </w:p>
        </w:tc>
        <w:tc>
          <w:tcPr>
            <w:tcW w:w="1571"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3.人民币印制最早采用凹印手感线防伪特征的是（    ）。</w:t>
            </w:r>
          </w:p>
        </w:tc>
        <w:tc>
          <w:tcPr>
            <w:tcW w:w="290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A</w:t>
            </w:r>
            <w:r>
              <w:rPr>
                <w:rFonts w:hint="eastAsia" w:ascii="仿宋" w:hAnsi="仿宋" w:eastAsia="仿宋" w:cs="仿宋"/>
                <w:sz w:val="24"/>
                <w:szCs w:val="24"/>
                <w:lang w:eastAsia="zh-CN"/>
              </w:rPr>
              <w:t xml:space="preserve"> </w:t>
            </w:r>
            <w:r>
              <w:rPr>
                <w:rFonts w:hint="eastAsia" w:ascii="仿宋" w:hAnsi="仿宋" w:eastAsia="仿宋" w:cs="仿宋"/>
                <w:sz w:val="24"/>
                <w:szCs w:val="24"/>
              </w:rPr>
              <w:t>第五套1999年版10元纸币</w:t>
            </w:r>
          </w:p>
          <w:p>
            <w:pPr>
              <w:rPr>
                <w:rFonts w:hint="eastAsia" w:ascii="仿宋" w:hAnsi="仿宋" w:eastAsia="仿宋" w:cs="仿宋"/>
                <w:sz w:val="24"/>
                <w:szCs w:val="24"/>
              </w:rPr>
            </w:pPr>
            <w:r>
              <w:rPr>
                <w:rFonts w:hint="eastAsia" w:ascii="仿宋" w:hAnsi="仿宋" w:eastAsia="仿宋" w:cs="仿宋"/>
                <w:sz w:val="24"/>
                <w:szCs w:val="24"/>
              </w:rPr>
              <w:t>B</w:t>
            </w:r>
            <w:r>
              <w:rPr>
                <w:rFonts w:hint="eastAsia" w:ascii="仿宋" w:hAnsi="仿宋" w:eastAsia="仿宋" w:cs="仿宋"/>
                <w:sz w:val="24"/>
                <w:szCs w:val="24"/>
                <w:lang w:eastAsia="zh-CN"/>
              </w:rPr>
              <w:t xml:space="preserve"> </w:t>
            </w:r>
            <w:r>
              <w:rPr>
                <w:rFonts w:hint="eastAsia" w:ascii="仿宋" w:hAnsi="仿宋" w:eastAsia="仿宋" w:cs="仿宋"/>
                <w:sz w:val="24"/>
                <w:szCs w:val="24"/>
              </w:rPr>
              <w:t>第五套1999年版1元纸币</w:t>
            </w:r>
          </w:p>
          <w:p>
            <w:pPr>
              <w:rPr>
                <w:rFonts w:hint="eastAsia" w:ascii="仿宋" w:hAnsi="仿宋" w:eastAsia="仿宋" w:cs="仿宋"/>
                <w:sz w:val="24"/>
                <w:szCs w:val="24"/>
              </w:rPr>
            </w:pPr>
            <w:r>
              <w:rPr>
                <w:rFonts w:hint="eastAsia" w:ascii="仿宋" w:hAnsi="仿宋" w:eastAsia="仿宋" w:cs="仿宋"/>
                <w:sz w:val="24"/>
                <w:szCs w:val="24"/>
              </w:rPr>
              <w:t>C</w:t>
            </w:r>
            <w:r>
              <w:rPr>
                <w:rFonts w:hint="eastAsia" w:ascii="仿宋" w:hAnsi="仿宋" w:eastAsia="仿宋" w:cs="仿宋"/>
                <w:sz w:val="24"/>
                <w:szCs w:val="24"/>
                <w:lang w:eastAsia="zh-CN"/>
              </w:rPr>
              <w:t xml:space="preserve"> </w:t>
            </w:r>
            <w:r>
              <w:rPr>
                <w:rFonts w:hint="eastAsia" w:ascii="仿宋" w:hAnsi="仿宋" w:eastAsia="仿宋" w:cs="仿宋"/>
                <w:sz w:val="24"/>
                <w:szCs w:val="24"/>
              </w:rPr>
              <w:t>第五套2005版100元纸币</w:t>
            </w:r>
          </w:p>
        </w:tc>
        <w:tc>
          <w:tcPr>
            <w:tcW w:w="952"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B</w:t>
            </w:r>
          </w:p>
        </w:tc>
        <w:tc>
          <w:tcPr>
            <w:tcW w:w="1571"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4.第五套人民币2005年版100元、50元纸币均包括了1999年版100元、50元纸币（    ）种专业防伪特征。</w:t>
            </w:r>
          </w:p>
        </w:tc>
        <w:tc>
          <w:tcPr>
            <w:tcW w:w="290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A</w:t>
            </w:r>
            <w:r>
              <w:rPr>
                <w:rFonts w:hint="eastAsia" w:ascii="仿宋" w:hAnsi="仿宋" w:eastAsia="仿宋" w:cs="仿宋"/>
                <w:sz w:val="24"/>
                <w:szCs w:val="24"/>
                <w:lang w:eastAsia="zh-CN"/>
              </w:rPr>
              <w:t xml:space="preserve"> </w:t>
            </w:r>
            <w:r>
              <w:rPr>
                <w:rFonts w:hint="eastAsia" w:ascii="仿宋" w:hAnsi="仿宋" w:eastAsia="仿宋" w:cs="仿宋"/>
                <w:sz w:val="24"/>
                <w:szCs w:val="24"/>
              </w:rPr>
              <w:t>3</w:t>
            </w:r>
          </w:p>
          <w:p>
            <w:pPr>
              <w:rPr>
                <w:rFonts w:hint="eastAsia" w:ascii="仿宋" w:hAnsi="仿宋" w:eastAsia="仿宋" w:cs="仿宋"/>
                <w:sz w:val="24"/>
                <w:szCs w:val="24"/>
              </w:rPr>
            </w:pPr>
            <w:r>
              <w:rPr>
                <w:rFonts w:hint="eastAsia" w:ascii="仿宋" w:hAnsi="仿宋" w:eastAsia="仿宋" w:cs="仿宋"/>
                <w:sz w:val="24"/>
                <w:szCs w:val="24"/>
              </w:rPr>
              <w:t>B</w:t>
            </w:r>
            <w:r>
              <w:rPr>
                <w:rFonts w:hint="eastAsia" w:ascii="仿宋" w:hAnsi="仿宋" w:eastAsia="仿宋" w:cs="仿宋"/>
                <w:sz w:val="24"/>
                <w:szCs w:val="24"/>
                <w:lang w:eastAsia="zh-CN"/>
              </w:rPr>
              <w:t xml:space="preserve"> </w:t>
            </w:r>
            <w:r>
              <w:rPr>
                <w:rFonts w:hint="eastAsia" w:ascii="仿宋" w:hAnsi="仿宋" w:eastAsia="仿宋" w:cs="仿宋"/>
                <w:sz w:val="24"/>
                <w:szCs w:val="24"/>
              </w:rPr>
              <w:t>4</w:t>
            </w:r>
          </w:p>
          <w:p>
            <w:pPr>
              <w:rPr>
                <w:rFonts w:hint="eastAsia" w:ascii="仿宋" w:hAnsi="仿宋" w:eastAsia="仿宋" w:cs="仿宋"/>
                <w:sz w:val="24"/>
                <w:szCs w:val="24"/>
              </w:rPr>
            </w:pPr>
            <w:r>
              <w:rPr>
                <w:rFonts w:hint="eastAsia" w:ascii="仿宋" w:hAnsi="仿宋" w:eastAsia="仿宋" w:cs="仿宋"/>
                <w:sz w:val="24"/>
                <w:szCs w:val="24"/>
              </w:rPr>
              <w:t>C</w:t>
            </w:r>
            <w:r>
              <w:rPr>
                <w:rFonts w:hint="eastAsia" w:ascii="仿宋" w:hAnsi="仿宋" w:eastAsia="仿宋" w:cs="仿宋"/>
                <w:sz w:val="24"/>
                <w:szCs w:val="24"/>
                <w:lang w:eastAsia="zh-CN"/>
              </w:rPr>
              <w:t xml:space="preserve"> </w:t>
            </w:r>
            <w:r>
              <w:rPr>
                <w:rFonts w:hint="eastAsia" w:ascii="仿宋" w:hAnsi="仿宋" w:eastAsia="仿宋" w:cs="仿宋"/>
                <w:sz w:val="24"/>
                <w:szCs w:val="24"/>
              </w:rPr>
              <w:t>5</w:t>
            </w:r>
          </w:p>
        </w:tc>
        <w:tc>
          <w:tcPr>
            <w:tcW w:w="952"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C</w:t>
            </w:r>
          </w:p>
        </w:tc>
        <w:tc>
          <w:tcPr>
            <w:tcW w:w="1571"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r>
              <w:rPr>
                <w:rFonts w:hint="eastAsia" w:ascii="仿宋" w:hAnsi="仿宋" w:eastAsia="仿宋" w:cs="仿宋"/>
                <w:sz w:val="24"/>
                <w:szCs w:val="24"/>
              </w:rPr>
              <w:t>. 第五套人民币2019年版50元纸币较2005年版调整了以下哪些防伪特征（ ）。</w:t>
            </w:r>
            <w:r>
              <w:rPr>
                <w:rFonts w:hint="eastAsia" w:ascii="仿宋" w:hAnsi="仿宋" w:eastAsia="仿宋" w:cs="仿宋"/>
                <w:sz w:val="24"/>
                <w:szCs w:val="24"/>
              </w:rPr>
              <w:drawing>
                <wp:inline distT="0" distB="0" distL="114300" distR="114300">
                  <wp:extent cx="2099310" cy="2006600"/>
                  <wp:effectExtent l="0" t="0" r="3810" b="5080"/>
                  <wp:docPr id="46"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1-1"/>
                          <pic:cNvPicPr>
                            <a:picLocks noChangeAspect="1"/>
                          </pic:cNvPicPr>
                        </pic:nvPicPr>
                        <pic:blipFill>
                          <a:blip r:embed="rId9"/>
                          <a:stretch>
                            <a:fillRect/>
                          </a:stretch>
                        </pic:blipFill>
                        <pic:spPr>
                          <a:xfrm>
                            <a:off x="0" y="0"/>
                            <a:ext cx="2099310" cy="2006600"/>
                          </a:xfrm>
                          <a:prstGeom prst="rect">
                            <a:avLst/>
                          </a:prstGeom>
                          <a:noFill/>
                          <a:ln>
                            <a:noFill/>
                          </a:ln>
                        </pic:spPr>
                      </pic:pic>
                    </a:graphicData>
                  </a:graphic>
                </wp:inline>
              </w:drawing>
            </w:r>
          </w:p>
        </w:tc>
        <w:tc>
          <w:tcPr>
            <w:tcW w:w="2909" w:type="dxa"/>
            <w:noWrap w:val="0"/>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A</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1、6</w:t>
            </w:r>
          </w:p>
          <w:p>
            <w:pPr>
              <w:rPr>
                <w:rFonts w:hint="eastAsia" w:ascii="仿宋" w:hAnsi="仿宋" w:eastAsia="仿宋" w:cs="仿宋"/>
                <w:color w:val="000000"/>
                <w:sz w:val="24"/>
                <w:szCs w:val="24"/>
              </w:rPr>
            </w:pPr>
            <w:r>
              <w:rPr>
                <w:rFonts w:hint="eastAsia" w:ascii="仿宋" w:hAnsi="仿宋" w:eastAsia="仿宋" w:cs="仿宋"/>
                <w:color w:val="000000"/>
                <w:sz w:val="24"/>
                <w:szCs w:val="24"/>
              </w:rPr>
              <w:t>B</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2、4</w:t>
            </w:r>
          </w:p>
          <w:p>
            <w:pPr>
              <w:rPr>
                <w:rFonts w:hint="eastAsia" w:ascii="仿宋" w:hAnsi="仿宋" w:eastAsia="仿宋" w:cs="仿宋"/>
                <w:color w:val="000000"/>
                <w:sz w:val="24"/>
                <w:szCs w:val="24"/>
              </w:rPr>
            </w:pPr>
            <w:r>
              <w:rPr>
                <w:rFonts w:hint="eastAsia" w:ascii="仿宋" w:hAnsi="仿宋" w:eastAsia="仿宋" w:cs="仿宋"/>
                <w:color w:val="000000"/>
                <w:sz w:val="24"/>
                <w:szCs w:val="24"/>
              </w:rPr>
              <w:t>C</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3、6</w:t>
            </w:r>
          </w:p>
          <w:p>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D</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4、6</w:t>
            </w:r>
          </w:p>
        </w:tc>
        <w:tc>
          <w:tcPr>
            <w:tcW w:w="952"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rPr>
              <w:t>D</w:t>
            </w:r>
          </w:p>
        </w:tc>
        <w:tc>
          <w:tcPr>
            <w:tcW w:w="1571"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3" w:type="dxa"/>
            <w:noWrap w:val="0"/>
            <w:vAlign w:val="center"/>
          </w:tcPr>
          <w:p>
            <w:pPr>
              <w:jc w:val="center"/>
              <w:rPr>
                <w:rFonts w:hint="eastAsia"/>
                <w:sz w:val="24"/>
                <w:szCs w:val="24"/>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2909" w:type="dxa"/>
            <w:noWrap w:val="0"/>
            <w:vAlign w:val="center"/>
          </w:tcPr>
          <w:p>
            <w:pPr>
              <w:jc w:val="center"/>
              <w:rPr>
                <w:rFonts w:hint="eastAsia"/>
                <w:sz w:val="24"/>
                <w:szCs w:val="24"/>
              </w:rPr>
            </w:pPr>
            <w:r>
              <w:rPr>
                <w:rFonts w:hint="eastAsia" w:ascii="仿宋_GB2312" w:eastAsia="仿宋_GB2312"/>
                <w:sz w:val="24"/>
                <w:szCs w:val="24"/>
              </w:rPr>
              <w:t>......</w:t>
            </w:r>
          </w:p>
        </w:tc>
        <w:tc>
          <w:tcPr>
            <w:tcW w:w="952"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c>
          <w:tcPr>
            <w:tcW w:w="1571"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r>
    </w:tbl>
    <w:p>
      <w:pPr>
        <w:jc w:val="both"/>
        <w:rPr>
          <w:b/>
          <w:color w:val="000000"/>
          <w:sz w:val="24"/>
          <w:szCs w:val="24"/>
          <w:lang w:val="en-US"/>
        </w:rPr>
      </w:pPr>
    </w:p>
    <w:p>
      <w:pPr>
        <w:jc w:val="both"/>
        <w:rPr>
          <w:rFonts w:hint="eastAsia"/>
          <w:b/>
          <w:color w:val="000000"/>
          <w:sz w:val="24"/>
          <w:szCs w:val="24"/>
          <w:lang w:val="en-US"/>
        </w:rPr>
      </w:pPr>
      <w:r>
        <w:rPr>
          <w:b/>
          <w:color w:val="000000"/>
          <w:sz w:val="24"/>
          <w:szCs w:val="24"/>
          <w:lang w:val="en-US"/>
        </w:rPr>
        <w:t>2</w:t>
      </w:r>
      <w:r>
        <w:rPr>
          <w:rFonts w:hint="eastAsia"/>
          <w:b/>
          <w:color w:val="000000"/>
          <w:sz w:val="24"/>
          <w:szCs w:val="24"/>
          <w:lang w:val="en-US" w:eastAsia="zh-CN"/>
        </w:rPr>
        <w:t>.</w:t>
      </w:r>
      <w:r>
        <w:rPr>
          <w:rFonts w:hint="eastAsia"/>
          <w:b/>
          <w:color w:val="000000"/>
          <w:sz w:val="24"/>
          <w:szCs w:val="24"/>
          <w:lang w:val="en-US"/>
        </w:rPr>
        <w:t>多选题</w:t>
      </w:r>
    </w:p>
    <w:tbl>
      <w:tblPr>
        <w:tblStyle w:val="1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9"/>
        <w:gridCol w:w="334"/>
        <w:gridCol w:w="1844"/>
        <w:gridCol w:w="116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334" w:type="dxa"/>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cs="仿宋_GB2312"/>
                <w:sz w:val="24"/>
                <w:szCs w:val="24"/>
              </w:rPr>
              <w:t>智慧金融</w:t>
            </w:r>
          </w:p>
        </w:tc>
        <w:tc>
          <w:tcPr>
            <w:tcW w:w="3011"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1944" w:type="dxa"/>
            <w:noWrap w:val="0"/>
            <w:vAlign w:val="center"/>
          </w:tcPr>
          <w:p>
            <w:pPr>
              <w:pStyle w:val="10"/>
              <w:ind w:left="0" w:leftChars="0" w:firstLine="0" w:firstLineChars="0"/>
              <w:jc w:val="center"/>
              <w:rPr>
                <w:rFonts w:hint="eastAsia" w:ascii="仿宋" w:hAnsi="仿宋" w:eastAsia="仿宋" w:cs="仿宋_GB2312"/>
              </w:rPr>
            </w:pPr>
            <w:r>
              <w:rPr>
                <w:rFonts w:hint="eastAsia" w:ascii="仿宋" w:hAnsi="仿宋" w:eastAsia="仿宋" w:cs="仿宋_GB2312"/>
                <w:sz w:val="24"/>
                <w:szCs w:val="24"/>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334"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ascii="仿宋" w:hAnsi="仿宋" w:eastAsia="仿宋" w:cs="仿宋"/>
                <w:sz w:val="24"/>
                <w:szCs w:val="24"/>
                <w:lang w:eastAsia="zh-CN"/>
              </w:rPr>
              <w:t>GZ044</w:t>
            </w:r>
          </w:p>
        </w:tc>
        <w:tc>
          <w:tcPr>
            <w:tcW w:w="3011" w:type="dxa"/>
            <w:gridSpan w:val="2"/>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1944" w:type="dxa"/>
            <w:noWrap w:val="0"/>
            <w:vAlign w:val="center"/>
          </w:tcPr>
          <w:p>
            <w:pPr>
              <w:pStyle w:val="15"/>
              <w:adjustRightInd w:val="0"/>
              <w:snapToGrid w:val="0"/>
              <w:spacing w:after="0"/>
              <w:ind w:left="0" w:leftChars="0" w:firstLine="0" w:firstLineChars="0"/>
              <w:jc w:val="center"/>
              <w:rPr>
                <w:rFonts w:hint="eastAsia" w:eastAsia="仿宋"/>
                <w:b/>
                <w:bCs/>
                <w:color w:val="000000"/>
                <w:sz w:val="24"/>
                <w:szCs w:val="24"/>
                <w:lang w:val="en-US"/>
              </w:rPr>
            </w:pPr>
            <w:r>
              <w:rPr>
                <w:rFonts w:hint="eastAsia" w:eastAsia="仿宋" w:cs="仿宋_GB2312"/>
                <w:b w:val="0"/>
                <w:bCs w:val="0"/>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28" w:type="dxa"/>
            <w:gridSpan w:val="5"/>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4955" w:type="dxa"/>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c>
          <w:tcPr>
            <w:tcW w:w="4955" w:type="dxa"/>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4955" w:type="dxa"/>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52"/>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2178" w:type="dxa"/>
            <w:gridSpan w:val="2"/>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1167"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1944" w:type="dxa"/>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.第五套人民币1999年版（    ）面额的纸币采用的是双面凹印。</w:t>
            </w:r>
          </w:p>
        </w:tc>
        <w:tc>
          <w:tcPr>
            <w:tcW w:w="2178" w:type="dxa"/>
            <w:gridSpan w:val="2"/>
            <w:noWrap w:val="0"/>
            <w:vAlign w:val="center"/>
          </w:tcPr>
          <w:p>
            <w:pPr>
              <w:rPr>
                <w:rFonts w:hint="eastAsia" w:ascii="仿宋" w:hAnsi="仿宋" w:eastAsia="仿宋" w:cs="仿宋"/>
                <w:sz w:val="24"/>
                <w:szCs w:val="24"/>
                <w:lang w:val="en-US"/>
              </w:rPr>
            </w:pPr>
            <w:r>
              <w:rPr>
                <w:rFonts w:hint="eastAsia" w:ascii="仿宋" w:hAnsi="仿宋" w:eastAsia="仿宋" w:cs="仿宋"/>
                <w:sz w:val="24"/>
                <w:szCs w:val="24"/>
                <w:lang w:val="en-US"/>
              </w:rPr>
              <w:t>A</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100</w:t>
            </w:r>
            <w:r>
              <w:rPr>
                <w:rFonts w:hint="eastAsia" w:ascii="仿宋" w:hAnsi="仿宋" w:eastAsia="仿宋" w:cs="仿宋"/>
                <w:sz w:val="24"/>
                <w:szCs w:val="24"/>
              </w:rPr>
              <w:t>元</w:t>
            </w:r>
          </w:p>
          <w:p>
            <w:pPr>
              <w:rPr>
                <w:rFonts w:hint="eastAsia" w:ascii="仿宋" w:hAnsi="仿宋" w:eastAsia="仿宋" w:cs="仿宋"/>
                <w:sz w:val="24"/>
                <w:szCs w:val="24"/>
                <w:lang w:val="en-US"/>
              </w:rPr>
            </w:pPr>
            <w:r>
              <w:rPr>
                <w:rFonts w:hint="eastAsia" w:ascii="仿宋" w:hAnsi="仿宋" w:eastAsia="仿宋" w:cs="仿宋"/>
                <w:sz w:val="24"/>
                <w:szCs w:val="24"/>
                <w:lang w:val="en-US"/>
              </w:rPr>
              <w:t>B</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50</w:t>
            </w:r>
            <w:r>
              <w:rPr>
                <w:rFonts w:hint="eastAsia" w:ascii="仿宋" w:hAnsi="仿宋" w:eastAsia="仿宋" w:cs="仿宋"/>
                <w:sz w:val="24"/>
                <w:szCs w:val="24"/>
              </w:rPr>
              <w:t>元</w:t>
            </w:r>
          </w:p>
          <w:p>
            <w:pPr>
              <w:rPr>
                <w:rFonts w:hint="eastAsia" w:ascii="仿宋" w:hAnsi="仿宋" w:eastAsia="仿宋" w:cs="仿宋"/>
                <w:sz w:val="24"/>
                <w:szCs w:val="24"/>
                <w:lang w:val="en-US"/>
              </w:rPr>
            </w:pPr>
            <w:r>
              <w:rPr>
                <w:rFonts w:hint="eastAsia" w:ascii="仿宋" w:hAnsi="仿宋" w:eastAsia="仿宋" w:cs="仿宋"/>
                <w:sz w:val="24"/>
                <w:szCs w:val="24"/>
                <w:lang w:val="en-US"/>
              </w:rPr>
              <w:t>C</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20</w:t>
            </w:r>
            <w:r>
              <w:rPr>
                <w:rFonts w:hint="eastAsia" w:ascii="仿宋" w:hAnsi="仿宋" w:eastAsia="仿宋" w:cs="仿宋"/>
                <w:sz w:val="24"/>
                <w:szCs w:val="24"/>
              </w:rPr>
              <w:t>元</w:t>
            </w:r>
          </w:p>
          <w:p>
            <w:pPr>
              <w:rPr>
                <w:rFonts w:hint="eastAsia" w:ascii="仿宋" w:hAnsi="仿宋" w:eastAsia="仿宋" w:cs="仿宋"/>
                <w:sz w:val="24"/>
                <w:szCs w:val="24"/>
                <w:lang w:val="en-US"/>
              </w:rPr>
            </w:pPr>
            <w:r>
              <w:rPr>
                <w:rFonts w:hint="eastAsia" w:ascii="仿宋" w:hAnsi="仿宋" w:eastAsia="仿宋" w:cs="仿宋"/>
                <w:sz w:val="24"/>
                <w:szCs w:val="24"/>
                <w:lang w:val="en-US"/>
              </w:rPr>
              <w:t>D</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10</w:t>
            </w:r>
            <w:r>
              <w:rPr>
                <w:rFonts w:hint="eastAsia" w:ascii="仿宋" w:hAnsi="仿宋" w:eastAsia="仿宋" w:cs="仿宋"/>
                <w:sz w:val="24"/>
                <w:szCs w:val="24"/>
              </w:rPr>
              <w:t>元</w:t>
            </w:r>
          </w:p>
          <w:p>
            <w:pPr>
              <w:rPr>
                <w:rFonts w:hint="eastAsia" w:ascii="仿宋" w:hAnsi="仿宋" w:eastAsia="仿宋" w:cs="仿宋"/>
                <w:sz w:val="24"/>
                <w:szCs w:val="24"/>
                <w:lang w:val="en-US"/>
              </w:rPr>
            </w:pPr>
            <w:r>
              <w:rPr>
                <w:rFonts w:hint="eastAsia" w:ascii="仿宋" w:hAnsi="仿宋" w:eastAsia="仿宋" w:cs="仿宋"/>
                <w:sz w:val="24"/>
                <w:szCs w:val="24"/>
                <w:lang w:val="en-US"/>
              </w:rPr>
              <w:t>E</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5</w:t>
            </w:r>
            <w:r>
              <w:rPr>
                <w:rFonts w:hint="eastAsia" w:ascii="仿宋" w:hAnsi="仿宋" w:eastAsia="仿宋" w:cs="仿宋"/>
                <w:sz w:val="24"/>
                <w:szCs w:val="24"/>
              </w:rPr>
              <w:t>元</w:t>
            </w:r>
          </w:p>
        </w:tc>
        <w:tc>
          <w:tcPr>
            <w:tcW w:w="1167" w:type="dxa"/>
            <w:noWrap w:val="0"/>
            <w:vAlign w:val="center"/>
          </w:tcPr>
          <w:p>
            <w:pPr>
              <w:pStyle w:val="11"/>
              <w:jc w:val="center"/>
              <w:rPr>
                <w:rFonts w:hint="eastAsia" w:ascii="仿宋" w:hAnsi="仿宋" w:eastAsia="仿宋" w:cs="仿宋"/>
                <w:sz w:val="24"/>
                <w:szCs w:val="24"/>
              </w:rPr>
            </w:pPr>
            <w:r>
              <w:rPr>
                <w:rFonts w:hint="eastAsia" w:ascii="仿宋" w:hAnsi="仿宋" w:eastAsia="仿宋" w:cs="仿宋"/>
                <w:sz w:val="24"/>
                <w:szCs w:val="24"/>
              </w:rPr>
              <w:t>ABDE</w:t>
            </w:r>
          </w:p>
        </w:tc>
        <w:tc>
          <w:tcPr>
            <w:tcW w:w="1944"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    )面额纸币采用了凹印盲文标记。</w:t>
            </w:r>
          </w:p>
        </w:tc>
        <w:tc>
          <w:tcPr>
            <w:tcW w:w="2178" w:type="dxa"/>
            <w:gridSpan w:val="2"/>
            <w:noWrap w:val="0"/>
            <w:vAlign w:val="center"/>
          </w:tcPr>
          <w:p>
            <w:pPr>
              <w:rPr>
                <w:rFonts w:hint="eastAsia" w:ascii="仿宋" w:hAnsi="仿宋" w:eastAsia="仿宋" w:cs="仿宋"/>
                <w:sz w:val="24"/>
                <w:szCs w:val="24"/>
              </w:rPr>
            </w:pPr>
            <w:r>
              <w:rPr>
                <w:rFonts w:hint="eastAsia" w:ascii="仿宋" w:hAnsi="仿宋" w:eastAsia="仿宋" w:cs="仿宋"/>
                <w:sz w:val="24"/>
                <w:szCs w:val="24"/>
              </w:rPr>
              <w:t>A</w:t>
            </w:r>
            <w:r>
              <w:rPr>
                <w:rFonts w:hint="eastAsia" w:ascii="仿宋" w:hAnsi="仿宋" w:eastAsia="仿宋" w:cs="仿宋"/>
                <w:sz w:val="24"/>
                <w:szCs w:val="24"/>
                <w:lang w:eastAsia="zh-CN"/>
              </w:rPr>
              <w:t xml:space="preserve"> </w:t>
            </w:r>
            <w:r>
              <w:rPr>
                <w:rFonts w:hint="eastAsia" w:ascii="仿宋" w:hAnsi="仿宋" w:eastAsia="仿宋" w:cs="仿宋"/>
                <w:sz w:val="24"/>
                <w:szCs w:val="24"/>
              </w:rPr>
              <w:t>20欧元</w:t>
            </w:r>
          </w:p>
          <w:p>
            <w:pPr>
              <w:rPr>
                <w:rFonts w:hint="eastAsia" w:ascii="仿宋" w:hAnsi="仿宋" w:eastAsia="仿宋" w:cs="仿宋"/>
                <w:sz w:val="24"/>
                <w:szCs w:val="24"/>
              </w:rPr>
            </w:pPr>
            <w:r>
              <w:rPr>
                <w:rFonts w:hint="eastAsia" w:ascii="仿宋" w:hAnsi="仿宋" w:eastAsia="仿宋" w:cs="仿宋"/>
                <w:sz w:val="24"/>
                <w:szCs w:val="24"/>
              </w:rPr>
              <w:t>B</w:t>
            </w:r>
            <w:r>
              <w:rPr>
                <w:rFonts w:hint="eastAsia" w:ascii="仿宋" w:hAnsi="仿宋" w:eastAsia="仿宋" w:cs="仿宋"/>
                <w:sz w:val="24"/>
                <w:szCs w:val="24"/>
                <w:lang w:eastAsia="zh-CN"/>
              </w:rPr>
              <w:t xml:space="preserve"> </w:t>
            </w:r>
            <w:r>
              <w:rPr>
                <w:rFonts w:hint="eastAsia" w:ascii="仿宋" w:hAnsi="仿宋" w:eastAsia="仿宋" w:cs="仿宋"/>
                <w:sz w:val="24"/>
                <w:szCs w:val="24"/>
              </w:rPr>
              <w:t>50欧元</w:t>
            </w:r>
          </w:p>
          <w:p>
            <w:pPr>
              <w:rPr>
                <w:rFonts w:hint="eastAsia" w:ascii="仿宋" w:hAnsi="仿宋" w:eastAsia="仿宋" w:cs="仿宋"/>
                <w:sz w:val="24"/>
                <w:szCs w:val="24"/>
              </w:rPr>
            </w:pPr>
            <w:r>
              <w:rPr>
                <w:rFonts w:hint="eastAsia" w:ascii="仿宋" w:hAnsi="仿宋" w:eastAsia="仿宋" w:cs="仿宋"/>
                <w:sz w:val="24"/>
                <w:szCs w:val="24"/>
              </w:rPr>
              <w:t>C</w:t>
            </w:r>
            <w:r>
              <w:rPr>
                <w:rFonts w:hint="eastAsia" w:ascii="仿宋" w:hAnsi="仿宋" w:eastAsia="仿宋" w:cs="仿宋"/>
                <w:sz w:val="24"/>
                <w:szCs w:val="24"/>
                <w:lang w:eastAsia="zh-CN"/>
              </w:rPr>
              <w:t xml:space="preserve"> </w:t>
            </w:r>
            <w:r>
              <w:rPr>
                <w:rFonts w:hint="eastAsia" w:ascii="仿宋" w:hAnsi="仿宋" w:eastAsia="仿宋" w:cs="仿宋"/>
                <w:sz w:val="24"/>
                <w:szCs w:val="24"/>
              </w:rPr>
              <w:t>100欧元</w:t>
            </w:r>
          </w:p>
          <w:p>
            <w:pPr>
              <w:rPr>
                <w:rFonts w:hint="eastAsia" w:ascii="仿宋" w:hAnsi="仿宋" w:eastAsia="仿宋" w:cs="仿宋"/>
                <w:sz w:val="24"/>
                <w:szCs w:val="24"/>
              </w:rPr>
            </w:pPr>
            <w:r>
              <w:rPr>
                <w:rFonts w:hint="eastAsia" w:ascii="仿宋" w:hAnsi="仿宋" w:eastAsia="仿宋" w:cs="仿宋"/>
                <w:sz w:val="24"/>
                <w:szCs w:val="24"/>
              </w:rPr>
              <w:t>D</w:t>
            </w:r>
            <w:r>
              <w:rPr>
                <w:rFonts w:hint="eastAsia" w:ascii="仿宋" w:hAnsi="仿宋" w:eastAsia="仿宋" w:cs="仿宋"/>
                <w:sz w:val="24"/>
                <w:szCs w:val="24"/>
                <w:lang w:eastAsia="zh-CN"/>
              </w:rPr>
              <w:t xml:space="preserve"> </w:t>
            </w:r>
            <w:r>
              <w:rPr>
                <w:rFonts w:hint="eastAsia" w:ascii="仿宋" w:hAnsi="仿宋" w:eastAsia="仿宋" w:cs="仿宋"/>
                <w:sz w:val="24"/>
                <w:szCs w:val="24"/>
              </w:rPr>
              <w:t>200欧元</w:t>
            </w:r>
          </w:p>
          <w:p>
            <w:pPr>
              <w:rPr>
                <w:rFonts w:hint="eastAsia" w:ascii="仿宋" w:hAnsi="仿宋" w:eastAsia="仿宋" w:cs="仿宋"/>
                <w:sz w:val="24"/>
                <w:szCs w:val="24"/>
              </w:rPr>
            </w:pPr>
            <w:r>
              <w:rPr>
                <w:rFonts w:hint="eastAsia" w:ascii="仿宋" w:hAnsi="仿宋" w:eastAsia="仿宋" w:cs="仿宋"/>
                <w:sz w:val="24"/>
                <w:szCs w:val="24"/>
              </w:rPr>
              <w:t>E</w:t>
            </w:r>
            <w:r>
              <w:rPr>
                <w:rFonts w:hint="eastAsia" w:ascii="仿宋" w:hAnsi="仿宋" w:eastAsia="仿宋" w:cs="仿宋"/>
                <w:sz w:val="24"/>
                <w:szCs w:val="24"/>
                <w:lang w:eastAsia="zh-CN"/>
              </w:rPr>
              <w:t xml:space="preserve"> </w:t>
            </w:r>
            <w:r>
              <w:rPr>
                <w:rFonts w:hint="eastAsia" w:ascii="仿宋" w:hAnsi="仿宋" w:eastAsia="仿宋" w:cs="仿宋"/>
                <w:sz w:val="24"/>
                <w:szCs w:val="24"/>
              </w:rPr>
              <w:t>500欧元</w:t>
            </w:r>
          </w:p>
        </w:tc>
        <w:tc>
          <w:tcPr>
            <w:tcW w:w="1167"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sz w:val="24"/>
                <w:szCs w:val="24"/>
              </w:rPr>
              <w:t>DE</w:t>
            </w:r>
          </w:p>
        </w:tc>
        <w:tc>
          <w:tcPr>
            <w:tcW w:w="1944"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3.以下（    ）防伪措施是在纸张抄造过程中实现的。</w:t>
            </w:r>
          </w:p>
        </w:tc>
        <w:tc>
          <w:tcPr>
            <w:tcW w:w="2178" w:type="dxa"/>
            <w:gridSpan w:val="2"/>
            <w:noWrap w:val="0"/>
            <w:vAlign w:val="center"/>
          </w:tcPr>
          <w:p>
            <w:pPr>
              <w:rPr>
                <w:rFonts w:hint="eastAsia" w:ascii="仿宋" w:hAnsi="仿宋" w:eastAsia="仿宋" w:cs="仿宋"/>
                <w:sz w:val="24"/>
                <w:szCs w:val="24"/>
              </w:rPr>
            </w:pPr>
            <w:r>
              <w:rPr>
                <w:rFonts w:hint="eastAsia" w:ascii="仿宋" w:hAnsi="仿宋" w:eastAsia="仿宋" w:cs="仿宋"/>
                <w:sz w:val="24"/>
                <w:szCs w:val="24"/>
              </w:rPr>
              <w:t>A</w:t>
            </w:r>
            <w:r>
              <w:rPr>
                <w:rFonts w:hint="eastAsia" w:ascii="仿宋" w:hAnsi="仿宋" w:eastAsia="仿宋" w:cs="仿宋"/>
                <w:sz w:val="24"/>
                <w:szCs w:val="24"/>
                <w:lang w:eastAsia="zh-CN"/>
              </w:rPr>
              <w:t xml:space="preserve"> </w:t>
            </w:r>
            <w:r>
              <w:rPr>
                <w:rFonts w:hint="eastAsia" w:ascii="仿宋" w:hAnsi="仿宋" w:eastAsia="仿宋" w:cs="仿宋"/>
                <w:sz w:val="24"/>
                <w:szCs w:val="24"/>
              </w:rPr>
              <w:t>手工雕刻头像</w:t>
            </w:r>
          </w:p>
          <w:p>
            <w:pPr>
              <w:rPr>
                <w:rFonts w:hint="eastAsia" w:ascii="仿宋" w:hAnsi="仿宋" w:eastAsia="仿宋" w:cs="仿宋"/>
                <w:sz w:val="24"/>
                <w:szCs w:val="24"/>
              </w:rPr>
            </w:pPr>
            <w:r>
              <w:rPr>
                <w:rFonts w:hint="eastAsia" w:ascii="仿宋" w:hAnsi="仿宋" w:eastAsia="仿宋" w:cs="仿宋"/>
                <w:sz w:val="24"/>
                <w:szCs w:val="24"/>
              </w:rPr>
              <w:t>B</w:t>
            </w:r>
            <w:r>
              <w:rPr>
                <w:rFonts w:hint="eastAsia" w:ascii="仿宋" w:hAnsi="仿宋" w:eastAsia="仿宋" w:cs="仿宋"/>
                <w:sz w:val="24"/>
                <w:szCs w:val="24"/>
                <w:lang w:eastAsia="zh-CN"/>
              </w:rPr>
              <w:t xml:space="preserve"> </w:t>
            </w:r>
            <w:r>
              <w:rPr>
                <w:rFonts w:hint="eastAsia" w:ascii="仿宋" w:hAnsi="仿宋" w:eastAsia="仿宋" w:cs="仿宋"/>
                <w:sz w:val="24"/>
                <w:szCs w:val="24"/>
              </w:rPr>
              <w:t>水印</w:t>
            </w:r>
          </w:p>
          <w:p>
            <w:pPr>
              <w:rPr>
                <w:rFonts w:hint="eastAsia" w:ascii="仿宋" w:hAnsi="仿宋" w:eastAsia="仿宋" w:cs="仿宋"/>
                <w:sz w:val="24"/>
                <w:szCs w:val="24"/>
              </w:rPr>
            </w:pPr>
            <w:r>
              <w:rPr>
                <w:rFonts w:hint="eastAsia" w:ascii="仿宋" w:hAnsi="仿宋" w:eastAsia="仿宋" w:cs="仿宋"/>
                <w:sz w:val="24"/>
                <w:szCs w:val="24"/>
              </w:rPr>
              <w:t>C</w:t>
            </w:r>
            <w:r>
              <w:rPr>
                <w:rFonts w:hint="eastAsia" w:ascii="仿宋" w:hAnsi="仿宋" w:eastAsia="仿宋" w:cs="仿宋"/>
                <w:sz w:val="24"/>
                <w:szCs w:val="24"/>
                <w:lang w:eastAsia="zh-CN"/>
              </w:rPr>
              <w:t xml:space="preserve"> </w:t>
            </w:r>
            <w:r>
              <w:rPr>
                <w:rFonts w:hint="eastAsia" w:ascii="仿宋" w:hAnsi="仿宋" w:eastAsia="仿宋" w:cs="仿宋"/>
                <w:sz w:val="24"/>
                <w:szCs w:val="24"/>
              </w:rPr>
              <w:t>荧光安全线</w:t>
            </w:r>
          </w:p>
          <w:p>
            <w:pPr>
              <w:rPr>
                <w:rFonts w:hint="eastAsia" w:ascii="仿宋" w:hAnsi="仿宋" w:eastAsia="仿宋" w:cs="仿宋"/>
                <w:sz w:val="24"/>
                <w:szCs w:val="24"/>
              </w:rPr>
            </w:pPr>
            <w:r>
              <w:rPr>
                <w:rFonts w:hint="eastAsia" w:ascii="仿宋" w:hAnsi="仿宋" w:eastAsia="仿宋" w:cs="仿宋"/>
                <w:sz w:val="24"/>
                <w:szCs w:val="24"/>
              </w:rPr>
              <w:t>D</w:t>
            </w:r>
            <w:r>
              <w:rPr>
                <w:rFonts w:hint="eastAsia" w:ascii="仿宋" w:hAnsi="仿宋" w:eastAsia="仿宋" w:cs="仿宋"/>
                <w:sz w:val="24"/>
                <w:szCs w:val="24"/>
                <w:lang w:eastAsia="zh-CN"/>
              </w:rPr>
              <w:t xml:space="preserve"> </w:t>
            </w:r>
            <w:r>
              <w:rPr>
                <w:rFonts w:hint="eastAsia" w:ascii="仿宋" w:hAnsi="仿宋" w:eastAsia="仿宋" w:cs="仿宋"/>
                <w:sz w:val="24"/>
                <w:szCs w:val="24"/>
              </w:rPr>
              <w:t>磁性号码</w:t>
            </w:r>
          </w:p>
          <w:p>
            <w:pPr>
              <w:rPr>
                <w:rFonts w:hint="eastAsia" w:ascii="仿宋" w:hAnsi="仿宋" w:eastAsia="仿宋" w:cs="仿宋"/>
                <w:sz w:val="24"/>
                <w:szCs w:val="24"/>
              </w:rPr>
            </w:pPr>
            <w:r>
              <w:rPr>
                <w:rFonts w:hint="eastAsia" w:ascii="仿宋" w:hAnsi="仿宋" w:eastAsia="仿宋" w:cs="仿宋"/>
                <w:sz w:val="24"/>
                <w:szCs w:val="24"/>
              </w:rPr>
              <w:t>E</w:t>
            </w:r>
            <w:r>
              <w:rPr>
                <w:rFonts w:hint="eastAsia" w:ascii="仿宋" w:hAnsi="仿宋" w:eastAsia="仿宋" w:cs="仿宋"/>
                <w:sz w:val="24"/>
                <w:szCs w:val="24"/>
                <w:lang w:eastAsia="zh-CN"/>
              </w:rPr>
              <w:t xml:space="preserve"> </w:t>
            </w:r>
            <w:r>
              <w:rPr>
                <w:rFonts w:hint="eastAsia" w:ascii="仿宋" w:hAnsi="仿宋" w:eastAsia="仿宋" w:cs="仿宋"/>
                <w:sz w:val="24"/>
                <w:szCs w:val="24"/>
              </w:rPr>
              <w:t>特种安全纤维</w:t>
            </w:r>
          </w:p>
        </w:tc>
        <w:tc>
          <w:tcPr>
            <w:tcW w:w="1167"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sz w:val="24"/>
                <w:szCs w:val="24"/>
              </w:rPr>
              <w:t>BCE</w:t>
            </w:r>
          </w:p>
        </w:tc>
        <w:tc>
          <w:tcPr>
            <w:tcW w:w="1944"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.常见的安全线施放技术有（    ）等技术。</w:t>
            </w:r>
          </w:p>
        </w:tc>
        <w:tc>
          <w:tcPr>
            <w:tcW w:w="2178" w:type="dxa"/>
            <w:gridSpan w:val="2"/>
            <w:noWrap w:val="0"/>
            <w:vAlign w:val="center"/>
          </w:tcPr>
          <w:p>
            <w:pPr>
              <w:rPr>
                <w:rFonts w:hint="eastAsia" w:ascii="仿宋" w:hAnsi="仿宋" w:eastAsia="仿宋" w:cs="仿宋"/>
                <w:sz w:val="24"/>
                <w:szCs w:val="24"/>
                <w:lang w:val="en-US"/>
              </w:rPr>
            </w:pPr>
            <w:r>
              <w:rPr>
                <w:rFonts w:hint="eastAsia" w:ascii="仿宋" w:hAnsi="仿宋" w:eastAsia="仿宋" w:cs="仿宋"/>
                <w:sz w:val="24"/>
                <w:szCs w:val="24"/>
                <w:lang w:val="en-US"/>
              </w:rPr>
              <w:t>A</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全埋式施放</w:t>
            </w:r>
          </w:p>
          <w:p>
            <w:pPr>
              <w:rPr>
                <w:rFonts w:hint="eastAsia" w:ascii="仿宋" w:hAnsi="仿宋" w:eastAsia="仿宋" w:cs="仿宋"/>
                <w:sz w:val="24"/>
                <w:szCs w:val="24"/>
                <w:lang w:val="en-US"/>
              </w:rPr>
            </w:pPr>
            <w:r>
              <w:rPr>
                <w:rFonts w:hint="eastAsia" w:ascii="仿宋" w:hAnsi="仿宋" w:eastAsia="仿宋" w:cs="仿宋"/>
                <w:sz w:val="24"/>
                <w:szCs w:val="24"/>
                <w:lang w:val="en-US"/>
              </w:rPr>
              <w:t>B</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开窗式施放</w:t>
            </w:r>
          </w:p>
          <w:p>
            <w:pPr>
              <w:rPr>
                <w:rFonts w:hint="eastAsia" w:ascii="仿宋" w:hAnsi="仿宋" w:eastAsia="仿宋" w:cs="仿宋"/>
                <w:sz w:val="24"/>
                <w:szCs w:val="24"/>
                <w:lang w:val="en-US"/>
              </w:rPr>
            </w:pPr>
            <w:r>
              <w:rPr>
                <w:rFonts w:hint="eastAsia" w:ascii="仿宋" w:hAnsi="仿宋" w:eastAsia="仿宋" w:cs="仿宋"/>
                <w:sz w:val="24"/>
                <w:szCs w:val="24"/>
                <w:lang w:val="en-US"/>
              </w:rPr>
              <w:t>C</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双安全线施放</w:t>
            </w:r>
          </w:p>
          <w:p>
            <w:pPr>
              <w:rPr>
                <w:rFonts w:hint="eastAsia" w:ascii="仿宋" w:hAnsi="仿宋" w:eastAsia="仿宋" w:cs="仿宋"/>
                <w:sz w:val="24"/>
                <w:szCs w:val="24"/>
                <w:lang w:val="en-US"/>
              </w:rPr>
            </w:pPr>
            <w:r>
              <w:rPr>
                <w:rFonts w:hint="eastAsia" w:ascii="仿宋" w:hAnsi="仿宋" w:eastAsia="仿宋" w:cs="仿宋"/>
                <w:sz w:val="24"/>
                <w:szCs w:val="24"/>
                <w:lang w:val="en-US"/>
              </w:rPr>
              <w:t>D</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全息式施放</w:t>
            </w:r>
          </w:p>
          <w:p>
            <w:pPr>
              <w:rPr>
                <w:rFonts w:hint="eastAsia" w:ascii="仿宋" w:hAnsi="仿宋" w:eastAsia="仿宋" w:cs="仿宋"/>
                <w:sz w:val="24"/>
                <w:szCs w:val="24"/>
                <w:lang w:val="en-US"/>
              </w:rPr>
            </w:pPr>
            <w:r>
              <w:rPr>
                <w:rFonts w:hint="eastAsia" w:ascii="仿宋" w:hAnsi="仿宋" w:eastAsia="仿宋" w:cs="仿宋"/>
                <w:sz w:val="24"/>
                <w:szCs w:val="24"/>
                <w:lang w:val="en-US"/>
              </w:rPr>
              <w:t>E</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半埋式施放</w:t>
            </w:r>
          </w:p>
        </w:tc>
        <w:tc>
          <w:tcPr>
            <w:tcW w:w="1167"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sz w:val="24"/>
                <w:szCs w:val="24"/>
              </w:rPr>
              <w:t>ABC</w:t>
            </w:r>
          </w:p>
        </w:tc>
        <w:tc>
          <w:tcPr>
            <w:tcW w:w="1944"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rPr>
                <w:rFonts w:hint="eastAsia" w:ascii="仿宋" w:hAnsi="仿宋" w:eastAsia="仿宋" w:cs="仿宋"/>
                <w:color w:val="000000"/>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color w:val="000000"/>
                <w:sz w:val="24"/>
                <w:szCs w:val="24"/>
              </w:rPr>
              <w:t>关于第五套人民币2005版和2019版50元,以下说法正确的是(     )。</w:t>
            </w:r>
          </w:p>
          <w:p>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099945" cy="977900"/>
                  <wp:effectExtent l="0" t="0" r="3175" b="12700"/>
                  <wp:docPr id="47"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1-5"/>
                          <pic:cNvPicPr>
                            <a:picLocks noChangeAspect="1"/>
                          </pic:cNvPicPr>
                        </pic:nvPicPr>
                        <pic:blipFill>
                          <a:blip r:embed="rId10"/>
                          <a:stretch>
                            <a:fillRect/>
                          </a:stretch>
                        </pic:blipFill>
                        <pic:spPr>
                          <a:xfrm>
                            <a:off x="0" y="0"/>
                            <a:ext cx="2099945" cy="977900"/>
                          </a:xfrm>
                          <a:prstGeom prst="rect">
                            <a:avLst/>
                          </a:prstGeom>
                          <a:noFill/>
                          <a:ln>
                            <a:noFill/>
                          </a:ln>
                        </pic:spPr>
                      </pic:pic>
                    </a:graphicData>
                  </a:graphic>
                </wp:inline>
              </w:drawing>
            </w:r>
          </w:p>
          <w:p>
            <w:pPr>
              <w:bidi w:val="0"/>
              <w:rPr>
                <w:rFonts w:hint="eastAsia" w:ascii="仿宋" w:hAnsi="仿宋" w:eastAsia="仿宋" w:cs="仿宋"/>
                <w:kern w:val="2"/>
                <w:sz w:val="24"/>
                <w:szCs w:val="24"/>
                <w:lang w:val="en-US" w:eastAsia="zh-CN" w:bidi="ar-SA"/>
              </w:rPr>
            </w:pPr>
            <w:r>
              <w:rPr>
                <w:rFonts w:hint="eastAsia" w:ascii="仿宋" w:hAnsi="仿宋" w:eastAsia="仿宋" w:cs="仿宋"/>
                <w:sz w:val="24"/>
                <w:szCs w:val="24"/>
              </w:rPr>
              <w:drawing>
                <wp:inline distT="0" distB="0" distL="114300" distR="114300">
                  <wp:extent cx="2099945" cy="977900"/>
                  <wp:effectExtent l="0" t="0" r="3175" b="12700"/>
                  <wp:docPr id="48" name="图片 48"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1"/>
                          <pic:cNvPicPr>
                            <a:picLocks noChangeAspect="1"/>
                          </pic:cNvPicPr>
                        </pic:nvPicPr>
                        <pic:blipFill>
                          <a:blip r:embed="rId11"/>
                          <a:stretch>
                            <a:fillRect/>
                          </a:stretch>
                        </pic:blipFill>
                        <pic:spPr>
                          <a:xfrm>
                            <a:off x="0" y="0"/>
                            <a:ext cx="2099945" cy="977900"/>
                          </a:xfrm>
                          <a:prstGeom prst="rect">
                            <a:avLst/>
                          </a:prstGeom>
                          <a:noFill/>
                          <a:ln>
                            <a:noFill/>
                          </a:ln>
                        </pic:spPr>
                      </pic:pic>
                    </a:graphicData>
                  </a:graphic>
                </wp:inline>
              </w:drawing>
            </w:r>
          </w:p>
        </w:tc>
        <w:tc>
          <w:tcPr>
            <w:tcW w:w="2178" w:type="dxa"/>
            <w:gridSpan w:val="2"/>
            <w:noWrap w:val="0"/>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A</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正面中部面额数字调整为光彩光变面额数字“50”</w:t>
            </w:r>
          </w:p>
          <w:p>
            <w:pPr>
              <w:rPr>
                <w:rFonts w:hint="eastAsia" w:ascii="仿宋" w:hAnsi="仿宋" w:eastAsia="仿宋" w:cs="仿宋"/>
                <w:color w:val="000000"/>
                <w:sz w:val="24"/>
                <w:szCs w:val="24"/>
              </w:rPr>
            </w:pPr>
            <w:r>
              <w:rPr>
                <w:rFonts w:hint="eastAsia" w:ascii="仿宋" w:hAnsi="仿宋" w:eastAsia="仿宋" w:cs="仿宋"/>
                <w:color w:val="000000"/>
                <w:sz w:val="24"/>
                <w:szCs w:val="24"/>
              </w:rPr>
              <w:t>B</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正面调整装饰团花的样式</w:t>
            </w:r>
          </w:p>
          <w:p>
            <w:pPr>
              <w:rPr>
                <w:rFonts w:hint="eastAsia" w:ascii="仿宋" w:hAnsi="仿宋" w:eastAsia="仿宋" w:cs="仿宋"/>
                <w:color w:val="000000"/>
                <w:sz w:val="24"/>
                <w:szCs w:val="24"/>
              </w:rPr>
            </w:pPr>
            <w:r>
              <w:rPr>
                <w:rFonts w:hint="eastAsia" w:ascii="仿宋" w:hAnsi="仿宋" w:eastAsia="仿宋" w:cs="仿宋"/>
                <w:color w:val="000000"/>
                <w:sz w:val="24"/>
                <w:szCs w:val="24"/>
              </w:rPr>
              <w:t>C</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正面右侧增加动感光变镂空开窗安全线和竖号码</w:t>
            </w:r>
          </w:p>
          <w:p>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D</w:t>
            </w:r>
            <w:r>
              <w:rPr>
                <w:rFonts w:hint="eastAsia" w:ascii="仿宋" w:hAnsi="仿宋" w:eastAsia="仿宋" w:cs="仿宋"/>
                <w:color w:val="000000"/>
                <w:sz w:val="24"/>
                <w:szCs w:val="24"/>
                <w:lang w:eastAsia="zh-CN"/>
              </w:rPr>
              <w:t xml:space="preserve"> </w:t>
            </w:r>
            <w:r>
              <w:rPr>
                <w:rFonts w:hint="eastAsia" w:ascii="仿宋" w:hAnsi="仿宋" w:eastAsia="仿宋" w:cs="仿宋"/>
                <w:color w:val="000000"/>
                <w:sz w:val="24"/>
                <w:szCs w:val="24"/>
              </w:rPr>
              <w:t>背面取消了右下角局部图案</w:t>
            </w:r>
          </w:p>
        </w:tc>
        <w:tc>
          <w:tcPr>
            <w:tcW w:w="1167" w:type="dxa"/>
            <w:noWrap w:val="0"/>
            <w:vAlign w:val="center"/>
          </w:tcPr>
          <w:p>
            <w:pPr>
              <w:pStyle w:val="15"/>
              <w:adjustRightInd w:val="0"/>
              <w:snapToGrid w:val="0"/>
              <w:spacing w:after="0"/>
              <w:ind w:left="0" w:leftChars="0"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val="en-US"/>
              </w:rPr>
              <w:t>ABCD</w:t>
            </w:r>
          </w:p>
        </w:tc>
        <w:tc>
          <w:tcPr>
            <w:tcW w:w="1944"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39" w:type="dxa"/>
            <w:noWrap w:val="0"/>
            <w:vAlign w:val="center"/>
          </w:tcPr>
          <w:p>
            <w:pPr>
              <w:jc w:val="center"/>
              <w:rPr>
                <w:rFonts w:hint="eastAsia" w:ascii="仿宋" w:hAnsi="仿宋" w:eastAsia="仿宋" w:cs="仿宋"/>
                <w:sz w:val="24"/>
                <w:szCs w:val="24"/>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2178" w:type="dxa"/>
            <w:gridSpan w:val="2"/>
            <w:noWrap w:val="0"/>
            <w:vAlign w:val="center"/>
          </w:tcPr>
          <w:p>
            <w:pPr>
              <w:jc w:val="center"/>
              <w:rPr>
                <w:rFonts w:hint="eastAsia" w:ascii="仿宋" w:hAnsi="仿宋" w:eastAsia="仿宋" w:cs="仿宋"/>
                <w:sz w:val="24"/>
                <w:szCs w:val="24"/>
              </w:rPr>
            </w:pPr>
            <w:r>
              <w:rPr>
                <w:rFonts w:hint="eastAsia" w:ascii="仿宋_GB2312" w:eastAsia="仿宋_GB2312"/>
                <w:sz w:val="24"/>
                <w:szCs w:val="24"/>
              </w:rPr>
              <w:t>......</w:t>
            </w:r>
          </w:p>
        </w:tc>
        <w:tc>
          <w:tcPr>
            <w:tcW w:w="1167" w:type="dxa"/>
            <w:noWrap w:val="0"/>
            <w:vAlign w:val="center"/>
          </w:tcPr>
          <w:p>
            <w:pPr>
              <w:pStyle w:val="15"/>
              <w:adjustRightInd w:val="0"/>
              <w:snapToGrid w:val="0"/>
              <w:spacing w:after="0"/>
              <w:ind w:left="0" w:leftChars="0" w:firstLine="0" w:firstLineChars="0"/>
              <w:jc w:val="center"/>
              <w:rPr>
                <w:rFonts w:hint="eastAsia" w:ascii="仿宋" w:hAnsi="仿宋" w:eastAsia="仿宋" w:cs="仿宋"/>
                <w:sz w:val="24"/>
                <w:szCs w:val="24"/>
              </w:rPr>
            </w:pPr>
          </w:p>
        </w:tc>
        <w:tc>
          <w:tcPr>
            <w:tcW w:w="1944" w:type="dxa"/>
            <w:noWrap w:val="0"/>
            <w:vAlign w:val="center"/>
          </w:tcPr>
          <w:p>
            <w:pPr>
              <w:pStyle w:val="15"/>
              <w:adjustRightInd w:val="0"/>
              <w:snapToGrid w:val="0"/>
              <w:spacing w:after="0"/>
              <w:ind w:left="0" w:leftChars="0" w:firstLine="0" w:firstLineChars="0"/>
              <w:jc w:val="center"/>
              <w:rPr>
                <w:rFonts w:hint="eastAsia" w:ascii="仿宋" w:hAnsi="仿宋" w:eastAsia="仿宋" w:cs="仿宋"/>
                <w:color w:val="000000"/>
                <w:sz w:val="24"/>
                <w:szCs w:val="24"/>
                <w:lang w:val="en-US"/>
              </w:rPr>
            </w:pPr>
          </w:p>
        </w:tc>
      </w:tr>
    </w:tbl>
    <w:p>
      <w:pPr>
        <w:jc w:val="center"/>
        <w:rPr>
          <w:b/>
          <w:color w:val="000000"/>
          <w:sz w:val="24"/>
          <w:szCs w:val="24"/>
          <w:lang w:val="en-US"/>
        </w:rPr>
      </w:pPr>
    </w:p>
    <w:p>
      <w:pPr>
        <w:ind w:firstLine="1205" w:firstLineChars="500"/>
        <w:jc w:val="both"/>
        <w:rPr>
          <w:rFonts w:hint="eastAsia"/>
          <w:b/>
          <w:color w:val="000000"/>
          <w:sz w:val="24"/>
          <w:szCs w:val="24"/>
          <w:lang w:val="en-US"/>
        </w:rPr>
      </w:pPr>
      <w:r>
        <w:rPr>
          <w:rFonts w:hint="eastAsia"/>
          <w:b/>
          <w:color w:val="000000"/>
          <w:sz w:val="24"/>
          <w:szCs w:val="24"/>
          <w:lang w:val="en-US" w:eastAsia="zh-CN"/>
        </w:rPr>
        <w:t>3.</w:t>
      </w:r>
      <w:r>
        <w:rPr>
          <w:rFonts w:hint="eastAsia"/>
          <w:b/>
          <w:color w:val="000000"/>
          <w:sz w:val="24"/>
          <w:szCs w:val="24"/>
          <w:lang w:val="en-US"/>
        </w:rPr>
        <w:t>是非题</w:t>
      </w:r>
    </w:p>
    <w:tbl>
      <w:tblPr>
        <w:tblStyle w:val="16"/>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2075"/>
        <w:gridCol w:w="2956"/>
        <w:gridCol w:w="200"/>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98"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075" w:type="dxa"/>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cs="仿宋_GB2312"/>
                <w:sz w:val="24"/>
                <w:szCs w:val="24"/>
              </w:rPr>
              <w:t>智慧金融</w:t>
            </w:r>
          </w:p>
        </w:tc>
        <w:tc>
          <w:tcPr>
            <w:tcW w:w="2956"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1577" w:type="dxa"/>
            <w:gridSpan w:val="2"/>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ascii="仿宋" w:hAnsi="仿宋" w:eastAsia="仿宋" w:cs="仿宋"/>
                <w:sz w:val="24"/>
                <w:szCs w:val="28"/>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98"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075"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cs="仿宋_GB2312"/>
                <w:sz w:val="24"/>
                <w:szCs w:val="24"/>
                <w:lang w:eastAsia="zh-CN"/>
              </w:rPr>
              <w:t>GZ044</w:t>
            </w:r>
          </w:p>
        </w:tc>
        <w:tc>
          <w:tcPr>
            <w:tcW w:w="2956" w:type="dxa"/>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1577"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cs="仿宋_GB2312"/>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6" w:type="dxa"/>
            <w:gridSpan w:val="5"/>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4533" w:type="dxa"/>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c>
          <w:tcPr>
            <w:tcW w:w="4533" w:type="dxa"/>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eastAsia="zh-CN"/>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w:t>
            </w:r>
            <w:r>
              <w:rPr>
                <w:rFonts w:hint="eastAsia" w:eastAsia="仿宋"/>
                <w:b/>
                <w:color w:val="000000"/>
                <w:sz w:val="24"/>
                <w:szCs w:val="24"/>
                <w:lang w:val="en-US"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4533" w:type="dxa"/>
            <w:gridSpan w:val="3"/>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52"/>
            </w:r>
            <w:r>
              <w:rPr>
                <w:rFonts w:hint="eastAsia" w:eastAsia="仿宋"/>
                <w:b/>
                <w:color w:val="000000"/>
                <w:sz w:val="24"/>
                <w:szCs w:val="24"/>
                <w:lang w:val="en-US"/>
              </w:rPr>
              <w:t>是非题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题目内容</w:t>
            </w:r>
          </w:p>
        </w:tc>
        <w:tc>
          <w:tcPr>
            <w:tcW w:w="3156" w:type="dxa"/>
            <w:gridSpan w:val="2"/>
            <w:noWrap w:val="0"/>
            <w:vAlign w:val="center"/>
          </w:tcPr>
          <w:p>
            <w:pPr>
              <w:pStyle w:val="15"/>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1377" w:type="dxa"/>
            <w:noWrap w:val="0"/>
            <w:vAlign w:val="center"/>
          </w:tcPr>
          <w:p>
            <w:pPr>
              <w:pStyle w:val="15"/>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rPr>
                <w:rFonts w:hint="eastAsia" w:ascii="仿宋" w:hAnsi="仿宋" w:eastAsia="仿宋" w:cs="仿宋"/>
                <w:bCs/>
                <w:color w:val="000000"/>
                <w:sz w:val="24"/>
                <w:szCs w:val="24"/>
                <w:lang w:val="en-US"/>
              </w:rPr>
            </w:pPr>
            <w:r>
              <w:rPr>
                <w:rFonts w:hint="eastAsia" w:eastAsia="仿宋" w:cs="仿宋"/>
                <w:sz w:val="24"/>
                <w:szCs w:val="24"/>
                <w:lang w:val="en-US" w:eastAsia="zh-CN"/>
              </w:rPr>
              <w:t>1</w:t>
            </w:r>
            <w:r>
              <w:rPr>
                <w:rFonts w:hint="eastAsia" w:ascii="仿宋" w:hAnsi="仿宋" w:eastAsia="仿宋" w:cs="仿宋"/>
                <w:sz w:val="24"/>
                <w:szCs w:val="24"/>
              </w:rPr>
              <w:t>.目前流通美元钞纸的主要成分是棉和麻混合物。（    ）</w:t>
            </w:r>
          </w:p>
        </w:tc>
        <w:tc>
          <w:tcPr>
            <w:tcW w:w="3156" w:type="dxa"/>
            <w:gridSpan w:val="2"/>
            <w:noWrap w:val="0"/>
            <w:vAlign w:val="center"/>
          </w:tcPr>
          <w:p>
            <w:pPr>
              <w:pStyle w:val="15"/>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377"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rPr>
                <w:rFonts w:hint="eastAsia" w:ascii="仿宋" w:hAnsi="仿宋" w:eastAsia="仿宋" w:cs="仿宋"/>
                <w:bCs/>
                <w:color w:val="000000"/>
                <w:sz w:val="24"/>
                <w:szCs w:val="24"/>
                <w:lang w:val="en-US"/>
              </w:rPr>
            </w:pPr>
            <w:r>
              <w:rPr>
                <w:rFonts w:hint="eastAsia" w:eastAsia="仿宋" w:cs="仿宋"/>
                <w:sz w:val="24"/>
                <w:szCs w:val="24"/>
                <w:lang w:val="en-US" w:eastAsia="zh-CN"/>
              </w:rPr>
              <w:t>2</w:t>
            </w:r>
            <w:r>
              <w:rPr>
                <w:rFonts w:hint="eastAsia" w:ascii="仿宋" w:hAnsi="仿宋" w:eastAsia="仿宋" w:cs="仿宋"/>
                <w:sz w:val="24"/>
                <w:szCs w:val="24"/>
              </w:rPr>
              <w:t>.在特定波长的紫外光下可以看到第五套人民币纸张中随机分布有红色和蓝色荧光纤维。（    ）</w:t>
            </w:r>
          </w:p>
        </w:tc>
        <w:tc>
          <w:tcPr>
            <w:tcW w:w="3156" w:type="dxa"/>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A3"/>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52"/>
            </w:r>
            <w:r>
              <w:rPr>
                <w:rFonts w:hint="eastAsia" w:eastAsia="仿宋"/>
                <w:color w:val="000000"/>
                <w:sz w:val="24"/>
                <w:szCs w:val="24"/>
                <w:lang w:val="en-US"/>
              </w:rPr>
              <w:t>错误</w:t>
            </w:r>
          </w:p>
        </w:tc>
        <w:tc>
          <w:tcPr>
            <w:tcW w:w="1377"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rPr>
                <w:rFonts w:hint="eastAsia" w:ascii="仿宋" w:hAnsi="仿宋" w:eastAsia="仿宋" w:cs="仿宋"/>
                <w:bCs/>
                <w:color w:val="000000"/>
                <w:sz w:val="24"/>
                <w:szCs w:val="24"/>
                <w:lang w:val="en-US"/>
              </w:rPr>
            </w:pPr>
            <w:r>
              <w:rPr>
                <w:rFonts w:hint="eastAsia" w:eastAsia="仿宋" w:cs="仿宋"/>
                <w:sz w:val="24"/>
                <w:szCs w:val="24"/>
                <w:lang w:val="en-US" w:eastAsia="zh-CN"/>
              </w:rPr>
              <w:t>3</w:t>
            </w:r>
            <w:r>
              <w:rPr>
                <w:rFonts w:hint="eastAsia" w:ascii="仿宋" w:hAnsi="仿宋" w:eastAsia="仿宋" w:cs="仿宋"/>
                <w:sz w:val="24"/>
                <w:szCs w:val="24"/>
              </w:rPr>
              <w:t>.收缴单位应当自收到鉴定单位通知之日起3个工作日内，将需要鉴定的货币送达鉴定单位。（    ）</w:t>
            </w:r>
          </w:p>
        </w:tc>
        <w:tc>
          <w:tcPr>
            <w:tcW w:w="3156" w:type="dxa"/>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A3"/>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52"/>
            </w:r>
            <w:r>
              <w:rPr>
                <w:rFonts w:hint="eastAsia" w:eastAsia="仿宋"/>
                <w:color w:val="000000"/>
                <w:sz w:val="24"/>
                <w:szCs w:val="24"/>
                <w:lang w:val="en-US"/>
              </w:rPr>
              <w:t>错误</w:t>
            </w:r>
          </w:p>
        </w:tc>
        <w:tc>
          <w:tcPr>
            <w:tcW w:w="1377"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rPr>
                <w:rFonts w:hint="eastAsia" w:ascii="仿宋" w:hAnsi="仿宋" w:eastAsia="仿宋" w:cs="仿宋"/>
                <w:bCs/>
                <w:color w:val="000000"/>
                <w:sz w:val="24"/>
                <w:szCs w:val="24"/>
                <w:lang w:val="en-US"/>
              </w:rPr>
            </w:pPr>
            <w:r>
              <w:rPr>
                <w:rFonts w:hint="eastAsia" w:eastAsia="仿宋" w:cs="仿宋"/>
                <w:sz w:val="24"/>
                <w:szCs w:val="24"/>
                <w:lang w:val="en-US" w:eastAsia="zh-CN"/>
              </w:rPr>
              <w:t>4</w:t>
            </w:r>
            <w:r>
              <w:rPr>
                <w:rFonts w:hint="eastAsia" w:ascii="仿宋" w:hAnsi="仿宋" w:eastAsia="仿宋" w:cs="仿宋"/>
                <w:sz w:val="24"/>
                <w:szCs w:val="24"/>
              </w:rPr>
              <w:t>.第五套人民币正面的装饰花纹精选了具有中国传统历史文件特色和民族特色，并有一定经典意义的纹饰，100元采用了中国漆器的花纹。（    ）</w:t>
            </w:r>
          </w:p>
        </w:tc>
        <w:tc>
          <w:tcPr>
            <w:tcW w:w="3156" w:type="dxa"/>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377"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pStyle w:val="15"/>
              <w:adjustRightInd w:val="0"/>
              <w:snapToGrid w:val="0"/>
              <w:spacing w:after="0"/>
              <w:ind w:left="0" w:leftChars="0" w:firstLine="0" w:firstLineChars="0"/>
              <w:rPr>
                <w:rFonts w:hint="eastAsia" w:ascii="仿宋" w:hAnsi="仿宋" w:eastAsia="仿宋" w:cs="仿宋"/>
                <w:bCs/>
                <w:color w:val="000000"/>
                <w:sz w:val="24"/>
                <w:szCs w:val="24"/>
                <w:lang w:val="en-US"/>
              </w:rPr>
            </w:pPr>
            <w:r>
              <w:rPr>
                <w:rFonts w:hint="eastAsia" w:eastAsia="仿宋" w:cs="仿宋"/>
                <w:sz w:val="24"/>
                <w:szCs w:val="24"/>
                <w:lang w:val="en-US" w:eastAsia="zh-CN"/>
              </w:rPr>
              <w:t>5</w:t>
            </w:r>
            <w:r>
              <w:rPr>
                <w:rFonts w:hint="eastAsia" w:ascii="仿宋" w:hAnsi="仿宋" w:eastAsia="仿宋" w:cs="仿宋"/>
                <w:sz w:val="24"/>
                <w:szCs w:val="24"/>
              </w:rPr>
              <w:t>.第五套人民币专用纸张在紫外光灯下无荧光反应。（    ）</w:t>
            </w:r>
          </w:p>
        </w:tc>
        <w:tc>
          <w:tcPr>
            <w:tcW w:w="3156" w:type="dxa"/>
            <w:gridSpan w:val="2"/>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1377"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0</w:t>
            </w:r>
            <w:r>
              <w:rPr>
                <w:rFonts w:eastAsia="仿宋"/>
                <w:color w:val="000000"/>
                <w:sz w:val="24"/>
                <w:szCs w:val="24"/>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3" w:type="dxa"/>
            <w:gridSpan w:val="2"/>
            <w:noWrap w:val="0"/>
            <w:vAlign w:val="center"/>
          </w:tcPr>
          <w:p>
            <w:pPr>
              <w:jc w:val="center"/>
              <w:rPr>
                <w:rFonts w:hint="eastAsia" w:ascii="仿宋" w:hAnsi="仿宋" w:eastAsia="仿宋" w:cs="仿宋"/>
                <w:bCs/>
                <w:color w:val="000000"/>
                <w:sz w:val="24"/>
                <w:szCs w:val="24"/>
                <w:lang w:val="en-US"/>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3156" w:type="dxa"/>
            <w:gridSpan w:val="2"/>
            <w:noWrap w:val="0"/>
            <w:vAlign w:val="center"/>
          </w:tcPr>
          <w:p>
            <w:pPr>
              <w:jc w:val="center"/>
              <w:rPr>
                <w:rFonts w:hint="eastAsia" w:eastAsia="仿宋"/>
                <w:color w:val="000000"/>
                <w:sz w:val="24"/>
                <w:szCs w:val="24"/>
                <w:lang w:val="en-US"/>
              </w:rPr>
            </w:pPr>
            <w:r>
              <w:rPr>
                <w:rFonts w:hint="eastAsia" w:ascii="仿宋_GB2312" w:eastAsia="仿宋_GB2312"/>
                <w:sz w:val="24"/>
                <w:szCs w:val="24"/>
              </w:rPr>
              <w:t>......</w:t>
            </w:r>
          </w:p>
        </w:tc>
        <w:tc>
          <w:tcPr>
            <w:tcW w:w="1377" w:type="dxa"/>
            <w:noWrap w:val="0"/>
            <w:vAlign w:val="center"/>
          </w:tcPr>
          <w:p>
            <w:pPr>
              <w:pStyle w:val="15"/>
              <w:adjustRightInd w:val="0"/>
              <w:snapToGrid w:val="0"/>
              <w:spacing w:after="0"/>
              <w:ind w:left="0" w:leftChars="0" w:firstLine="0" w:firstLineChars="0"/>
              <w:jc w:val="center"/>
              <w:rPr>
                <w:rFonts w:hint="eastAsia" w:eastAsia="仿宋"/>
                <w:color w:val="000000"/>
                <w:sz w:val="24"/>
                <w:szCs w:val="24"/>
                <w:lang w:val="en-US"/>
              </w:rPr>
            </w:pPr>
          </w:p>
        </w:tc>
      </w:tr>
    </w:tbl>
    <w:p>
      <w:pPr>
        <w:pStyle w:val="4"/>
        <w:numPr>
          <w:ilvl w:val="0"/>
          <w:numId w:val="4"/>
        </w:numPr>
        <w:bidi w:val="0"/>
        <w:spacing w:line="360" w:lineRule="auto"/>
        <w:ind w:leftChars="200"/>
        <w:rPr>
          <w:rFonts w:hint="eastAsia" w:ascii="楷体" w:hAnsi="楷体" w:eastAsia="楷体" w:cs="楷体"/>
          <w:bCs/>
          <w:color w:val="auto"/>
          <w:spacing w:val="-4"/>
          <w:sz w:val="28"/>
          <w:szCs w:val="28"/>
          <w:highlight w:val="none"/>
          <w:lang w:val="en-US" w:eastAsia="zh-CN" w:bidi="ar-SA"/>
        </w:rPr>
      </w:pPr>
      <w:r>
        <w:rPr>
          <w:rFonts w:hint="eastAsia" w:ascii="楷体" w:hAnsi="楷体" w:eastAsia="楷体" w:cs="楷体"/>
          <w:bCs/>
          <w:color w:val="auto"/>
          <w:spacing w:val="-4"/>
          <w:sz w:val="28"/>
          <w:szCs w:val="28"/>
          <w:highlight w:val="none"/>
          <w:lang w:val="en-US" w:eastAsia="zh-CN" w:bidi="ar-SA"/>
        </w:rPr>
        <w:t>金融综合技能</w:t>
      </w:r>
    </w:p>
    <w:tbl>
      <w:tblPr>
        <w:tblStyle w:val="1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152"/>
        <w:gridCol w:w="103"/>
        <w:gridCol w:w="1062"/>
        <w:gridCol w:w="1946"/>
        <w:gridCol w:w="287"/>
        <w:gridCol w:w="1055"/>
        <w:gridCol w:w="724"/>
        <w:gridCol w:w="165"/>
        <w:gridCol w:w="1100"/>
        <w:gridCol w:w="566"/>
        <w:gridCol w:w="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3" w:type="dxa"/>
          <w:trHeight w:val="567" w:hRule="atLeast"/>
          <w:jc w:val="center"/>
        </w:trPr>
        <w:tc>
          <w:tcPr>
            <w:tcW w:w="190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赛项名称</w:t>
            </w:r>
          </w:p>
        </w:tc>
        <w:tc>
          <w:tcPr>
            <w:tcW w:w="3111" w:type="dxa"/>
            <w:gridSpan w:val="3"/>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ascii="仿宋_GB2312" w:eastAsia="仿宋_GB2312" w:cs="Times New Roman"/>
                <w:bCs/>
                <w:color w:val="000000"/>
                <w:sz w:val="24"/>
                <w:szCs w:val="24"/>
              </w:rPr>
            </w:pPr>
            <w:r>
              <w:rPr>
                <w:rFonts w:hint="eastAsia" w:ascii="仿宋_GB2312" w:eastAsia="仿宋_GB2312" w:cs="Times New Roman"/>
                <w:bCs/>
                <w:color w:val="000000"/>
                <w:sz w:val="24"/>
                <w:szCs w:val="24"/>
              </w:rPr>
              <w:t>智慧金融</w:t>
            </w:r>
          </w:p>
        </w:tc>
        <w:tc>
          <w:tcPr>
            <w:tcW w:w="2066" w:type="dxa"/>
            <w:gridSpan w:val="3"/>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英语名称</w:t>
            </w:r>
          </w:p>
        </w:tc>
        <w:tc>
          <w:tcPr>
            <w:tcW w:w="1831"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rFonts w:hint="eastAsia" w:ascii="仿宋" w:hAnsi="仿宋" w:eastAsia="仿宋" w:cs="仿宋"/>
                <w:sz w:val="24"/>
                <w:szCs w:val="28"/>
              </w:rPr>
            </w:pPr>
            <w:r>
              <w:rPr>
                <w:rFonts w:hint="eastAsia" w:ascii="仿宋" w:hAnsi="仿宋" w:eastAsia="仿宋" w:cs="仿宋"/>
                <w:sz w:val="24"/>
                <w:szCs w:val="28"/>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3" w:type="dxa"/>
          <w:trHeight w:val="567" w:hRule="atLeast"/>
          <w:jc w:val="center"/>
        </w:trPr>
        <w:tc>
          <w:tcPr>
            <w:tcW w:w="190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赛项编号</w:t>
            </w:r>
          </w:p>
        </w:tc>
        <w:tc>
          <w:tcPr>
            <w:tcW w:w="3111" w:type="dxa"/>
            <w:gridSpan w:val="3"/>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ascii="仿宋_GB2312" w:eastAsia="仿宋_GB2312" w:cs="Times New Roman"/>
                <w:bCs/>
                <w:color w:val="000000"/>
                <w:sz w:val="24"/>
                <w:szCs w:val="24"/>
              </w:rPr>
            </w:pPr>
            <w:r>
              <w:rPr>
                <w:rFonts w:hint="eastAsia" w:ascii="仿宋_GB2312" w:eastAsia="仿宋_GB2312" w:cs="Times New Roman"/>
                <w:bCs/>
                <w:color w:val="000000"/>
                <w:sz w:val="24"/>
                <w:szCs w:val="24"/>
              </w:rPr>
              <w:t>G</w:t>
            </w:r>
            <w:r>
              <w:rPr>
                <w:rFonts w:ascii="仿宋_GB2312" w:eastAsia="仿宋_GB2312" w:cs="Times New Roman"/>
                <w:bCs/>
                <w:color w:val="000000"/>
                <w:sz w:val="24"/>
                <w:szCs w:val="24"/>
              </w:rPr>
              <w:t>Z044</w:t>
            </w:r>
          </w:p>
        </w:tc>
        <w:tc>
          <w:tcPr>
            <w:tcW w:w="2066" w:type="dxa"/>
            <w:gridSpan w:val="3"/>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归属产业</w:t>
            </w:r>
          </w:p>
        </w:tc>
        <w:tc>
          <w:tcPr>
            <w:tcW w:w="1831" w:type="dxa"/>
            <w:gridSpan w:val="3"/>
            <w:tcBorders>
              <w:top w:val="single" w:color="auto" w:sz="4" w:space="0"/>
              <w:left w:val="single" w:color="auto" w:sz="4" w:space="0"/>
              <w:bottom w:val="single" w:color="auto" w:sz="4" w:space="0"/>
              <w:right w:val="single" w:color="auto" w:sz="4" w:space="0"/>
            </w:tcBorders>
            <w:vAlign w:val="center"/>
          </w:tcPr>
          <w:p>
            <w:pPr>
              <w:bidi w:val="0"/>
              <w:jc w:val="center"/>
              <w:rPr>
                <w:rFonts w:hint="eastAsia" w:ascii="仿宋" w:hAnsi="仿宋" w:eastAsia="仿宋" w:cs="仿宋"/>
                <w:sz w:val="24"/>
                <w:szCs w:val="28"/>
              </w:rPr>
            </w:pPr>
            <w:r>
              <w:rPr>
                <w:rFonts w:hint="eastAsia" w:ascii="仿宋" w:hAnsi="仿宋" w:eastAsia="仿宋" w:cs="仿宋"/>
                <w:sz w:val="24"/>
                <w:szCs w:val="28"/>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3" w:type="dxa"/>
          <w:trHeight w:val="567" w:hRule="atLeast"/>
          <w:jc w:val="center"/>
        </w:trPr>
        <w:tc>
          <w:tcPr>
            <w:tcW w:w="8909" w:type="dxa"/>
            <w:gridSpan w:val="11"/>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3" w:type="dxa"/>
          <w:trHeight w:val="567" w:hRule="atLeast"/>
          <w:jc w:val="center"/>
        </w:trPr>
        <w:tc>
          <w:tcPr>
            <w:tcW w:w="5012" w:type="dxa"/>
            <w:gridSpan w:val="5"/>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ascii="仿宋_GB2312" w:eastAsia="仿宋_GB2312" w:cs="Times New Roman"/>
                <w:bCs/>
                <w:color w:val="000000"/>
                <w:sz w:val="24"/>
                <w:szCs w:val="24"/>
              </w:rPr>
            </w:pPr>
            <w:r>
              <w:rPr>
                <w:rFonts w:hint="eastAsia" w:eastAsia="仿宋" w:cs="Times New Roman"/>
                <w:b/>
                <w:color w:val="000000"/>
                <w:sz w:val="24"/>
                <w:szCs w:val="24"/>
              </w:rPr>
              <w:t>中职组</w:t>
            </w:r>
          </w:p>
        </w:tc>
        <w:tc>
          <w:tcPr>
            <w:tcW w:w="3897" w:type="dxa"/>
            <w:gridSpan w:val="6"/>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3" w:type="dxa"/>
          <w:trHeight w:val="567" w:hRule="atLeast"/>
          <w:jc w:val="center"/>
        </w:trPr>
        <w:tc>
          <w:tcPr>
            <w:tcW w:w="5012" w:type="dxa"/>
            <w:gridSpan w:val="5"/>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hint="eastAsia" w:ascii="仿宋_GB2312" w:eastAsia="仿宋" w:cs="Times New Roman"/>
                <w:bCs/>
                <w:color w:val="000000"/>
                <w:sz w:val="24"/>
                <w:szCs w:val="24"/>
                <w:lang w:eastAsia="zh-CN"/>
              </w:rPr>
            </w:pPr>
            <w:r>
              <w:rPr>
                <w:rFonts w:hint="eastAsia" w:eastAsia="仿宋" w:cs="Times New Roman"/>
                <w:b/>
                <w:color w:val="000000"/>
                <w:sz w:val="24"/>
                <w:szCs w:val="24"/>
              </w:rPr>
              <w:t>□学生组 □教师组 □</w:t>
            </w:r>
            <w:r>
              <w:rPr>
                <w:rFonts w:hint="eastAsia" w:eastAsia="仿宋" w:cs="Times New Roman"/>
                <w:b/>
                <w:color w:val="000000"/>
                <w:sz w:val="24"/>
                <w:szCs w:val="24"/>
                <w:lang w:eastAsia="zh-CN"/>
              </w:rPr>
              <w:t>师生同赛试点赛项</w:t>
            </w:r>
          </w:p>
        </w:tc>
        <w:tc>
          <w:tcPr>
            <w:tcW w:w="3897" w:type="dxa"/>
            <w:gridSpan w:val="6"/>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hint="eastAsia" w:eastAsia="仿宋" w:cs="Times New Roman"/>
                <w:b/>
                <w:color w:val="000000"/>
                <w:sz w:val="24"/>
                <w:szCs w:val="24"/>
                <w:lang w:eastAsia="zh-CN"/>
              </w:rPr>
            </w:pPr>
            <w:r>
              <w:rPr>
                <w:rFonts w:hint="eastAsia" w:eastAsia="仿宋" w:cs="Times New Roman"/>
                <w:b/>
                <w:color w:val="000000"/>
                <w:sz w:val="24"/>
                <w:szCs w:val="24"/>
              </w:rPr>
              <w:sym w:font="Wingdings" w:char="F0FE"/>
            </w:r>
            <w:r>
              <w:rPr>
                <w:rFonts w:hint="eastAsia" w:eastAsia="仿宋" w:cs="Times New Roman"/>
                <w:b/>
                <w:color w:val="000000"/>
                <w:sz w:val="24"/>
                <w:szCs w:val="24"/>
              </w:rPr>
              <w:t>学生组 □教师组 □</w:t>
            </w:r>
            <w:r>
              <w:rPr>
                <w:rFonts w:hint="eastAsia" w:eastAsia="仿宋" w:cs="Times New Roman"/>
                <w:b/>
                <w:color w:val="000000"/>
                <w:sz w:val="24"/>
                <w:szCs w:val="24"/>
                <w:lang w:eastAsia="zh-CN"/>
              </w:rPr>
              <w:t>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33" w:type="dxa"/>
          <w:trHeight w:val="567" w:hRule="atLeast"/>
          <w:jc w:val="center"/>
        </w:trPr>
        <w:tc>
          <w:tcPr>
            <w:tcW w:w="5012" w:type="dxa"/>
            <w:gridSpan w:val="5"/>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ascii="仿宋_GB2312" w:eastAsia="仿宋_GB2312" w:cs="Times New Roman"/>
                <w:bCs/>
                <w:color w:val="000000"/>
                <w:sz w:val="24"/>
                <w:szCs w:val="24"/>
              </w:rPr>
            </w:pPr>
            <w:r>
              <w:rPr>
                <w:rFonts w:hint="eastAsia" w:eastAsia="仿宋" w:cs="Times New Roman"/>
                <w:b/>
                <w:color w:val="000000"/>
                <w:sz w:val="24"/>
                <w:szCs w:val="24"/>
              </w:rPr>
              <w:t>模块数量</w:t>
            </w:r>
          </w:p>
        </w:tc>
        <w:tc>
          <w:tcPr>
            <w:tcW w:w="3897" w:type="dxa"/>
            <w:gridSpan w:val="6"/>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ascii="仿宋_GB2312" w:eastAsia="仿宋_GB2312" w:cs="Times New Roman"/>
                <w:bCs/>
                <w:color w:val="000000"/>
                <w:sz w:val="24"/>
                <w:szCs w:val="24"/>
              </w:rPr>
            </w:pPr>
            <w:r>
              <w:rPr>
                <w:rFonts w:hint="eastAsia" w:ascii="仿宋_GB2312" w:eastAsia="仿宋_GB2312" w:cs="Times New Roman"/>
                <w:bCs/>
                <w:color w:val="00000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技能竞赛内容</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技术技能要点</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专业知识能力要求</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对应核心课程</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权重占比（%）</w:t>
            </w:r>
          </w:p>
        </w:tc>
        <w:tc>
          <w:tcPr>
            <w:tcW w:w="1100"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竞赛时间（min）</w:t>
            </w:r>
          </w:p>
        </w:tc>
        <w:tc>
          <w:tcPr>
            <w:tcW w:w="899"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restart"/>
            <w:tcBorders>
              <w:top w:val="single" w:color="auto" w:sz="4" w:space="0"/>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模块1</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大堂经理岗-厅堂业务</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厅堂业务引导、金融单证规范书写、业务信息录入、现金清点整理、假伪币识别收缴、金融设备使用、金融服务礼仪规范</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①具有用经济金融基础理论来解释生活中的经济现象并运用于实践的能力</w:t>
            </w:r>
            <w:r>
              <w:rPr>
                <w:rFonts w:hint="eastAsia" w:eastAsia="仿宋" w:cs="Times New Roman"/>
                <w:color w:val="000000"/>
                <w:sz w:val="24"/>
                <w:szCs w:val="24"/>
                <w:lang w:eastAsia="zh-CN"/>
              </w:rPr>
              <w:t>；</w:t>
            </w:r>
            <w:r>
              <w:rPr>
                <w:rFonts w:hint="eastAsia" w:eastAsia="仿宋" w:cs="Times New Roman"/>
                <w:color w:val="000000"/>
                <w:sz w:val="24"/>
                <w:szCs w:val="24"/>
              </w:rPr>
              <w:t>②具有按照金融从业人员礼仪规范正确进行各项业务的客户接待、业务引导的能力</w:t>
            </w:r>
            <w:r>
              <w:rPr>
                <w:rFonts w:hint="eastAsia" w:eastAsia="仿宋" w:cs="Times New Roman"/>
                <w:color w:val="000000"/>
                <w:sz w:val="24"/>
                <w:szCs w:val="24"/>
                <w:lang w:eastAsia="zh-CN"/>
              </w:rPr>
              <w:t>；</w:t>
            </w:r>
            <w:r>
              <w:rPr>
                <w:rFonts w:hint="eastAsia" w:eastAsia="仿宋" w:cs="Times New Roman"/>
                <w:color w:val="000000"/>
                <w:sz w:val="24"/>
                <w:szCs w:val="24"/>
              </w:rPr>
              <w:t>③具有点钞、假币鉴别等基本金融职业技能</w:t>
            </w:r>
            <w:r>
              <w:rPr>
                <w:rFonts w:hint="eastAsia" w:eastAsia="仿宋" w:cs="Times New Roman"/>
                <w:color w:val="000000"/>
                <w:sz w:val="24"/>
                <w:szCs w:val="24"/>
                <w:lang w:eastAsia="zh-CN"/>
              </w:rPr>
              <w:t>；</w:t>
            </w:r>
            <w:r>
              <w:rPr>
                <w:rFonts w:hint="eastAsia" w:eastAsia="仿宋" w:cs="Times New Roman"/>
                <w:color w:val="000000"/>
                <w:sz w:val="24"/>
                <w:szCs w:val="24"/>
              </w:rPr>
              <w:t>④具有根据金融礼仪规范开展客户服务和产品营销的能力</w:t>
            </w:r>
            <w:r>
              <w:rPr>
                <w:rFonts w:hint="eastAsia" w:eastAsia="仿宋" w:cs="Times New Roman"/>
                <w:color w:val="000000"/>
                <w:sz w:val="24"/>
                <w:szCs w:val="24"/>
                <w:lang w:eastAsia="zh-CN"/>
              </w:rPr>
              <w:t>；</w:t>
            </w:r>
            <w:r>
              <w:rPr>
                <w:rFonts w:hint="eastAsia" w:eastAsia="仿宋" w:cs="Times New Roman"/>
                <w:color w:val="000000"/>
                <w:sz w:val="24"/>
                <w:szCs w:val="24"/>
              </w:rPr>
              <w:t>⑤具有根据金融营销基本策略技巧开拓和维护客户，较好地进行金融产品营销的能力</w:t>
            </w:r>
            <w:r>
              <w:rPr>
                <w:rFonts w:hint="eastAsia" w:eastAsia="仿宋" w:cs="Times New Roman"/>
                <w:color w:val="000000"/>
                <w:sz w:val="24"/>
                <w:szCs w:val="24"/>
                <w:lang w:eastAsia="zh-CN"/>
              </w:rPr>
              <w:t>；</w:t>
            </w:r>
            <w:r>
              <w:rPr>
                <w:rFonts w:hint="eastAsia" w:eastAsia="仿宋" w:cs="Times New Roman"/>
                <w:color w:val="000000"/>
                <w:sz w:val="24"/>
                <w:szCs w:val="24"/>
              </w:rPr>
              <w:t>⑥具有根据相关法律法规和行业规范开展金融服务和业务风险审查的能力</w:t>
            </w:r>
            <w:r>
              <w:rPr>
                <w:rFonts w:hint="eastAsia" w:eastAsia="仿宋" w:cs="Times New Roman"/>
                <w:color w:val="000000"/>
                <w:sz w:val="24"/>
                <w:szCs w:val="24"/>
                <w:lang w:eastAsia="zh-CN"/>
              </w:rPr>
              <w:t>；</w:t>
            </w:r>
            <w:r>
              <w:rPr>
                <w:rFonts w:hint="eastAsia" w:eastAsia="仿宋" w:cs="Times New Roman"/>
                <w:color w:val="000000"/>
                <w:sz w:val="24"/>
                <w:szCs w:val="24"/>
              </w:rPr>
              <w:t>⑦具有依照经济金融基本法律法规进行金融业务风险的基本分析识别与防范的能力</w:t>
            </w:r>
            <w:r>
              <w:rPr>
                <w:rFonts w:hint="eastAsia" w:eastAsia="仿宋" w:cs="Times New Roman"/>
                <w:color w:val="000000"/>
                <w:sz w:val="24"/>
                <w:szCs w:val="24"/>
                <w:lang w:eastAsia="zh-CN"/>
              </w:rPr>
              <w:t>；</w:t>
            </w:r>
            <w:r>
              <w:rPr>
                <w:rFonts w:hint="eastAsia" w:eastAsia="仿宋" w:cs="Times New Roman"/>
                <w:color w:val="000000"/>
                <w:sz w:val="24"/>
                <w:szCs w:val="24"/>
              </w:rPr>
              <w:t>⑧具有适应金融产业数字化发展需求的信息技术基础知识、专业信息技术能力等基本数字化技能</w:t>
            </w:r>
            <w:r>
              <w:rPr>
                <w:rFonts w:hint="eastAsia" w:eastAsia="仿宋" w:cs="Times New Roman"/>
                <w:color w:val="000000"/>
                <w:sz w:val="24"/>
                <w:szCs w:val="24"/>
                <w:lang w:eastAsia="zh-CN"/>
              </w:rPr>
              <w:t>；</w:t>
            </w:r>
            <w:r>
              <w:rPr>
                <w:rFonts w:hint="eastAsia" w:eastAsia="仿宋" w:cs="Times New Roman"/>
                <w:color w:val="000000"/>
                <w:sz w:val="24"/>
                <w:szCs w:val="24"/>
              </w:rPr>
              <w:t>⑨具有较好的语言表达、沟通协调和团队合作的能力</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金融服务营销、金融风险与合规</w:t>
            </w:r>
          </w:p>
        </w:tc>
        <w:tc>
          <w:tcPr>
            <w:tcW w:w="889" w:type="dxa"/>
            <w:gridSpan w:val="2"/>
            <w:vMerge w:val="restart"/>
            <w:tcBorders>
              <w:top w:val="single" w:color="auto" w:sz="4" w:space="0"/>
              <w:left w:val="single" w:color="auto" w:sz="4" w:space="0"/>
              <w:right w:val="single" w:color="auto" w:sz="4" w:space="0"/>
            </w:tcBorders>
            <w:vAlign w:val="center"/>
          </w:tcPr>
          <w:p>
            <w:pPr>
              <w:pStyle w:val="2"/>
              <w:ind w:left="0" w:leftChars="0" w:firstLine="0" w:firstLineChars="0"/>
              <w:jc w:val="center"/>
              <w:rPr>
                <w:rFonts w:hint="eastAsia" w:ascii="仿宋" w:hAnsi="仿宋" w:eastAsia="仿宋" w:cs="仿宋"/>
                <w:color w:val="000000"/>
                <w:sz w:val="24"/>
                <w:szCs w:val="24"/>
                <w:highlight w:val="yellow"/>
              </w:rPr>
            </w:pPr>
            <w:r>
              <w:rPr>
                <w:rFonts w:hint="eastAsia" w:ascii="仿宋" w:hAnsi="仿宋" w:eastAsia="仿宋" w:cs="仿宋"/>
                <w:color w:val="000000"/>
                <w:sz w:val="24"/>
                <w:szCs w:val="24"/>
                <w:highlight w:val="none"/>
                <w:lang w:val="en-US" w:eastAsia="zh-CN"/>
              </w:rPr>
              <w:t>6.67</w:t>
            </w:r>
          </w:p>
        </w:tc>
        <w:tc>
          <w:tcPr>
            <w:tcW w:w="1100" w:type="dxa"/>
            <w:vMerge w:val="restart"/>
            <w:tcBorders>
              <w:top w:val="single" w:color="auto" w:sz="4" w:space="0"/>
              <w:left w:val="single" w:color="auto" w:sz="4" w:space="0"/>
              <w:right w:val="single" w:color="auto" w:sz="4" w:space="0"/>
            </w:tcBorders>
            <w:vAlign w:val="center"/>
          </w:tcPr>
          <w:p>
            <w:pPr>
              <w:pStyle w:val="2"/>
              <w:ind w:left="0" w:leftChars="0" w:firstLine="0" w:firstLineChars="0"/>
              <w:jc w:val="center"/>
              <w:rPr>
                <w:rFonts w:hint="eastAsia" w:ascii="仿宋" w:hAnsi="仿宋" w:eastAsia="仿宋" w:cs="仿宋"/>
                <w:color w:val="000000"/>
                <w:sz w:val="24"/>
                <w:szCs w:val="24"/>
                <w:highlight w:val="yellow"/>
              </w:rPr>
            </w:pPr>
            <w:r>
              <w:rPr>
                <w:rFonts w:hint="eastAsia" w:ascii="仿宋" w:hAnsi="仿宋" w:eastAsia="仿宋" w:cs="仿宋"/>
                <w:color w:val="000000"/>
                <w:sz w:val="24"/>
                <w:szCs w:val="24"/>
                <w:highlight w:val="none"/>
              </w:rPr>
              <w:t>120</w:t>
            </w:r>
          </w:p>
        </w:tc>
        <w:tc>
          <w:tcPr>
            <w:tcW w:w="899" w:type="dxa"/>
            <w:gridSpan w:val="2"/>
            <w:vMerge w:val="restart"/>
            <w:tcBorders>
              <w:top w:val="single" w:color="auto" w:sz="4" w:space="0"/>
              <w:left w:val="single" w:color="auto" w:sz="4" w:space="0"/>
              <w:right w:val="single" w:color="auto" w:sz="4" w:space="0"/>
            </w:tcBorders>
            <w:vAlign w:val="center"/>
          </w:tcPr>
          <w:p>
            <w:pPr>
              <w:pStyle w:val="2"/>
              <w:ind w:left="0" w:leftChars="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continue"/>
            <w:tcBorders>
              <w:left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大堂经理岗-保险咨询业务</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保险经纪服务、保险代理服务</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①具有开展市场调查、客户拓展、量身定制保险理财规划、保险产品推广及销售等工作的能力</w:t>
            </w:r>
            <w:r>
              <w:rPr>
                <w:rFonts w:hint="eastAsia" w:eastAsia="仿宋" w:cs="Times New Roman"/>
                <w:color w:val="000000"/>
                <w:sz w:val="24"/>
                <w:szCs w:val="24"/>
                <w:lang w:eastAsia="zh-CN"/>
              </w:rPr>
              <w:t>；</w:t>
            </w:r>
            <w:r>
              <w:rPr>
                <w:rFonts w:hint="eastAsia" w:eastAsia="仿宋" w:cs="Times New Roman"/>
                <w:color w:val="000000"/>
                <w:sz w:val="24"/>
                <w:szCs w:val="24"/>
              </w:rPr>
              <w:t>②具有保险代理、保险经纪等中介业务操作与处理的能力</w:t>
            </w:r>
            <w:r>
              <w:rPr>
                <w:rFonts w:hint="eastAsia" w:eastAsia="仿宋" w:cs="Times New Roman"/>
                <w:color w:val="000000"/>
                <w:sz w:val="24"/>
                <w:szCs w:val="24"/>
                <w:lang w:eastAsia="zh-CN"/>
              </w:rPr>
              <w:t>；</w:t>
            </w:r>
            <w:r>
              <w:rPr>
                <w:rFonts w:hint="eastAsia" w:eastAsia="仿宋" w:cs="Times New Roman"/>
                <w:color w:val="000000"/>
                <w:sz w:val="24"/>
                <w:szCs w:val="24"/>
              </w:rPr>
              <w:t>③具有为各类企事业单位进行风险评估、提供合理化防灾防损建议的能力</w:t>
            </w:r>
            <w:r>
              <w:rPr>
                <w:rFonts w:hint="eastAsia" w:eastAsia="仿宋" w:cs="Times New Roman"/>
                <w:color w:val="000000"/>
                <w:sz w:val="24"/>
                <w:szCs w:val="24"/>
                <w:lang w:eastAsia="zh-CN"/>
              </w:rPr>
              <w:t>；</w:t>
            </w:r>
            <w:r>
              <w:rPr>
                <w:rFonts w:hint="eastAsia" w:eastAsia="仿宋" w:cs="Times New Roman"/>
                <w:color w:val="000000"/>
                <w:sz w:val="24"/>
                <w:szCs w:val="24"/>
              </w:rPr>
              <w:t>④具有保险信息处理操作处理等能力</w:t>
            </w:r>
            <w:r>
              <w:rPr>
                <w:rFonts w:hint="eastAsia" w:eastAsia="仿宋" w:cs="Times New Roman"/>
                <w:color w:val="000000"/>
                <w:sz w:val="24"/>
                <w:szCs w:val="24"/>
                <w:lang w:eastAsia="zh-CN"/>
              </w:rPr>
              <w:t>；</w:t>
            </w:r>
            <w:r>
              <w:rPr>
                <w:rFonts w:hint="eastAsia" w:eastAsia="仿宋" w:cs="Times New Roman"/>
                <w:color w:val="000000"/>
                <w:sz w:val="24"/>
                <w:szCs w:val="24"/>
              </w:rPr>
              <w:t>⑤具有较好的语言表达、沟通协调和团队合作的能力</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人身保险实务、财产保险事务、保险营销技巧、保险客户服务、保险中介实务</w:t>
            </w:r>
          </w:p>
        </w:tc>
        <w:tc>
          <w:tcPr>
            <w:tcW w:w="88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1100" w:type="dxa"/>
            <w:vMerge w:val="continue"/>
            <w:tcBorders>
              <w:left w:val="single" w:color="auto" w:sz="4" w:space="0"/>
              <w:right w:val="single" w:color="auto" w:sz="4" w:space="0"/>
            </w:tcBorders>
            <w:vAlign w:val="center"/>
          </w:tcPr>
          <w:p>
            <w:pPr>
              <w:pStyle w:val="2"/>
              <w:ind w:left="440" w:firstLine="480"/>
              <w:jc w:val="center"/>
              <w:rPr>
                <w:rFonts w:eastAsia="仿宋" w:cs="Times New Roman"/>
                <w:color w:val="000000"/>
                <w:sz w:val="24"/>
                <w:szCs w:val="24"/>
              </w:rPr>
            </w:pPr>
          </w:p>
        </w:tc>
        <w:tc>
          <w:tcPr>
            <w:tcW w:w="89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continue"/>
            <w:tcBorders>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大堂经理岗-证券咨询业务</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证券产品分析</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①具有为客户提供证券产品分析、投资分析等服务的能力</w:t>
            </w:r>
            <w:r>
              <w:rPr>
                <w:rFonts w:hint="eastAsia" w:eastAsia="仿宋" w:cs="Times New Roman"/>
                <w:color w:val="000000"/>
                <w:sz w:val="24"/>
                <w:szCs w:val="24"/>
                <w:lang w:eastAsia="zh-CN"/>
              </w:rPr>
              <w:t>；</w:t>
            </w:r>
            <w:r>
              <w:rPr>
                <w:rFonts w:hint="eastAsia" w:eastAsia="仿宋" w:cs="Times New Roman"/>
                <w:color w:val="000000"/>
                <w:sz w:val="24"/>
                <w:szCs w:val="24"/>
              </w:rPr>
              <w:t>②具有使用金融领域基本数字化工具的能力</w:t>
            </w:r>
            <w:r>
              <w:rPr>
                <w:rFonts w:hint="eastAsia" w:eastAsia="仿宋" w:cs="Times New Roman"/>
                <w:color w:val="000000"/>
                <w:sz w:val="24"/>
                <w:szCs w:val="24"/>
                <w:lang w:eastAsia="zh-CN"/>
              </w:rPr>
              <w:t>；</w:t>
            </w:r>
            <w:r>
              <w:rPr>
                <w:rFonts w:hint="eastAsia" w:eastAsia="仿宋" w:cs="Times New Roman"/>
                <w:color w:val="000000"/>
                <w:sz w:val="24"/>
                <w:szCs w:val="24"/>
              </w:rPr>
              <w:t>③具有使用金融服务礼仪、沟通表达、团队协作的能力</w:t>
            </w:r>
            <w:r>
              <w:rPr>
                <w:rFonts w:hint="eastAsia" w:eastAsia="仿宋" w:cs="Times New Roman"/>
                <w:color w:val="000000"/>
                <w:sz w:val="24"/>
                <w:szCs w:val="24"/>
                <w:lang w:eastAsia="zh-CN"/>
              </w:rPr>
              <w:t>；</w:t>
            </w:r>
            <w:r>
              <w:rPr>
                <w:rFonts w:hint="eastAsia" w:eastAsia="仿宋" w:cs="Times New Roman"/>
                <w:color w:val="000000"/>
                <w:sz w:val="24"/>
                <w:szCs w:val="24"/>
              </w:rPr>
              <w:t>④具有依照证券市场基本法律法规、行业相关绿色生产、安全防护、质量管理等要求办理相关业务的能力</w:t>
            </w:r>
            <w:r>
              <w:rPr>
                <w:rFonts w:hint="eastAsia" w:eastAsia="仿宋" w:cs="Times New Roman"/>
                <w:color w:val="000000"/>
                <w:sz w:val="24"/>
                <w:szCs w:val="24"/>
                <w:lang w:eastAsia="zh-CN"/>
              </w:rPr>
              <w:t>；</w:t>
            </w:r>
            <w:r>
              <w:rPr>
                <w:rFonts w:hint="eastAsia" w:eastAsia="仿宋" w:cs="Times New Roman"/>
                <w:color w:val="000000"/>
                <w:sz w:val="24"/>
                <w:szCs w:val="24"/>
              </w:rPr>
              <w:t>⑤具有较好的语言表达、沟通协调和团队合作的能力</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证券投资实务、证券投资分析、金融营销</w:t>
            </w:r>
          </w:p>
        </w:tc>
        <w:tc>
          <w:tcPr>
            <w:tcW w:w="889" w:type="dxa"/>
            <w:gridSpan w:val="2"/>
            <w:vMerge w:val="continue"/>
            <w:tcBorders>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1100" w:type="dxa"/>
            <w:vMerge w:val="continue"/>
            <w:tcBorders>
              <w:left w:val="single" w:color="auto" w:sz="4" w:space="0"/>
              <w:right w:val="single" w:color="auto" w:sz="4" w:space="0"/>
            </w:tcBorders>
            <w:vAlign w:val="center"/>
          </w:tcPr>
          <w:p>
            <w:pPr>
              <w:pStyle w:val="2"/>
              <w:ind w:left="440" w:firstLine="480"/>
              <w:jc w:val="center"/>
              <w:rPr>
                <w:rFonts w:eastAsia="仿宋" w:cs="Times New Roman"/>
                <w:color w:val="000000"/>
                <w:sz w:val="24"/>
                <w:szCs w:val="24"/>
              </w:rPr>
            </w:pPr>
          </w:p>
        </w:tc>
        <w:tc>
          <w:tcPr>
            <w:tcW w:w="89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restart"/>
            <w:tcBorders>
              <w:top w:val="single" w:color="auto" w:sz="4" w:space="0"/>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模块2</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综合柜员岗-零售柜台业务</w:t>
            </w:r>
          </w:p>
        </w:tc>
        <w:tc>
          <w:tcPr>
            <w:tcW w:w="1062" w:type="dxa"/>
            <w:tcBorders>
              <w:top w:val="single" w:color="auto" w:sz="4" w:space="0"/>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对公柜台业务操作、票据业务处理操作、票据审核</w:t>
            </w:r>
          </w:p>
        </w:tc>
        <w:tc>
          <w:tcPr>
            <w:tcW w:w="2233" w:type="dxa"/>
            <w:gridSpan w:val="2"/>
            <w:tcBorders>
              <w:top w:val="single" w:color="auto" w:sz="4" w:space="0"/>
              <w:left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①具有钞票清点、假币鉴别、数字键盘传票录入、形码输入法信息录入等金融服务基本操作能力</w:t>
            </w:r>
            <w:r>
              <w:rPr>
                <w:rFonts w:hint="eastAsia" w:eastAsia="仿宋" w:cs="Times New Roman"/>
                <w:color w:val="000000"/>
                <w:sz w:val="24"/>
                <w:szCs w:val="24"/>
                <w:lang w:eastAsia="zh-CN"/>
              </w:rPr>
              <w:t>；</w:t>
            </w:r>
            <w:r>
              <w:rPr>
                <w:rFonts w:hint="eastAsia" w:eastAsia="仿宋" w:cs="Times New Roman"/>
                <w:color w:val="000000"/>
                <w:sz w:val="24"/>
                <w:szCs w:val="24"/>
              </w:rPr>
              <w:t>②具有用经济金融基础理论来解释生活中的经济现象并运用于实践的能力</w:t>
            </w:r>
            <w:r>
              <w:rPr>
                <w:rFonts w:hint="eastAsia" w:eastAsia="仿宋" w:cs="Times New Roman"/>
                <w:color w:val="000000"/>
                <w:sz w:val="24"/>
                <w:szCs w:val="24"/>
                <w:lang w:eastAsia="zh-CN"/>
              </w:rPr>
              <w:t>；</w:t>
            </w:r>
            <w:r>
              <w:rPr>
                <w:rFonts w:hint="eastAsia" w:eastAsia="仿宋" w:cs="Times New Roman"/>
                <w:color w:val="000000"/>
                <w:sz w:val="24"/>
                <w:szCs w:val="24"/>
              </w:rPr>
              <w:t>③具有规范进行金融机构柜面业务操作的能力</w:t>
            </w:r>
            <w:r>
              <w:rPr>
                <w:rFonts w:hint="eastAsia" w:eastAsia="仿宋" w:cs="Times New Roman"/>
                <w:color w:val="000000"/>
                <w:sz w:val="24"/>
                <w:szCs w:val="24"/>
                <w:lang w:eastAsia="zh-CN"/>
              </w:rPr>
              <w:t>；</w:t>
            </w:r>
            <w:r>
              <w:rPr>
                <w:rFonts w:hint="eastAsia" w:eastAsia="仿宋" w:cs="Times New Roman"/>
                <w:color w:val="000000"/>
                <w:sz w:val="24"/>
                <w:szCs w:val="24"/>
              </w:rPr>
              <w:t>④具有依照经济金融基本法律法规进行金融业务风险的基本分析识别与防范的能力</w:t>
            </w:r>
            <w:r>
              <w:rPr>
                <w:rFonts w:hint="eastAsia" w:eastAsia="仿宋" w:cs="Times New Roman"/>
                <w:color w:val="000000"/>
                <w:sz w:val="24"/>
                <w:szCs w:val="24"/>
                <w:lang w:eastAsia="zh-CN"/>
              </w:rPr>
              <w:t>；</w:t>
            </w:r>
            <w:r>
              <w:rPr>
                <w:rFonts w:hint="eastAsia" w:eastAsia="仿宋" w:cs="Times New Roman"/>
                <w:color w:val="000000"/>
                <w:sz w:val="24"/>
                <w:szCs w:val="24"/>
              </w:rPr>
              <w:t>⑤具有适应金融产业数字化发展需求的信息技术基础知识、专业信息技术能力等基本数字化技能</w:t>
            </w:r>
          </w:p>
        </w:tc>
        <w:tc>
          <w:tcPr>
            <w:tcW w:w="1055" w:type="dxa"/>
            <w:tcBorders>
              <w:top w:val="single" w:color="auto" w:sz="4" w:space="0"/>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商业银行综合柜台业务、金融风险与合规、银行产品</w:t>
            </w:r>
          </w:p>
        </w:tc>
        <w:tc>
          <w:tcPr>
            <w:tcW w:w="889" w:type="dxa"/>
            <w:gridSpan w:val="2"/>
            <w:vMerge w:val="restart"/>
            <w:tcBorders>
              <w:top w:val="single" w:color="auto" w:sz="4" w:space="0"/>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highlight w:val="none"/>
                <w:lang w:val="en-US" w:eastAsia="zh-CN"/>
              </w:rPr>
              <w:t>6.67</w:t>
            </w:r>
          </w:p>
        </w:tc>
        <w:tc>
          <w:tcPr>
            <w:tcW w:w="1100" w:type="dxa"/>
            <w:vMerge w:val="restart"/>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highlight w:val="none"/>
              </w:rPr>
              <w:t>120</w:t>
            </w:r>
          </w:p>
        </w:tc>
        <w:tc>
          <w:tcPr>
            <w:tcW w:w="899" w:type="dxa"/>
            <w:gridSpan w:val="2"/>
            <w:vMerge w:val="restart"/>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continue"/>
            <w:tcBorders>
              <w:left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综合柜员岗-对公柜台业务</w:t>
            </w:r>
          </w:p>
        </w:tc>
        <w:tc>
          <w:tcPr>
            <w:tcW w:w="1062" w:type="dxa"/>
            <w:tcBorders>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银行对公柜台业务操作、票据业务处理操作、票据审核</w:t>
            </w:r>
          </w:p>
        </w:tc>
        <w:tc>
          <w:tcPr>
            <w:tcW w:w="2233" w:type="dxa"/>
            <w:gridSpan w:val="2"/>
            <w:tcBorders>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eastAsia="仿宋" w:cs="Times New Roman"/>
                <w:color w:val="000000"/>
                <w:sz w:val="24"/>
                <w:szCs w:val="24"/>
                <w:lang w:eastAsia="zh-CN"/>
              </w:rPr>
            </w:pPr>
            <w:r>
              <w:rPr>
                <w:rFonts w:hint="eastAsia" w:eastAsia="仿宋" w:cs="Times New Roman"/>
                <w:color w:val="000000"/>
                <w:sz w:val="24"/>
                <w:szCs w:val="24"/>
              </w:rPr>
              <w:t>①具有钞票清点、假币鉴别、数字键盘传票录入、形码输入法信息录入等金融服务基本操作能力</w:t>
            </w:r>
            <w:r>
              <w:rPr>
                <w:rFonts w:hint="eastAsia" w:eastAsia="仿宋" w:cs="Times New Roman"/>
                <w:color w:val="000000"/>
                <w:sz w:val="24"/>
                <w:szCs w:val="24"/>
                <w:lang w:eastAsia="zh-CN"/>
              </w:rPr>
              <w:t>；</w:t>
            </w:r>
            <w:r>
              <w:rPr>
                <w:rFonts w:hint="eastAsia" w:eastAsia="仿宋" w:cs="Times New Roman"/>
                <w:color w:val="000000"/>
                <w:sz w:val="24"/>
                <w:szCs w:val="24"/>
              </w:rPr>
              <w:t>②具有用经济金融基础理论来解释生活中的经济现象并运用于实践的能力</w:t>
            </w:r>
            <w:r>
              <w:rPr>
                <w:rFonts w:hint="eastAsia" w:eastAsia="仿宋" w:cs="Times New Roman"/>
                <w:color w:val="000000"/>
                <w:sz w:val="24"/>
                <w:szCs w:val="24"/>
                <w:lang w:eastAsia="zh-CN"/>
              </w:rPr>
              <w:t>；</w:t>
            </w:r>
            <w:r>
              <w:rPr>
                <w:rFonts w:hint="eastAsia" w:eastAsia="仿宋" w:cs="Times New Roman"/>
                <w:color w:val="000000"/>
                <w:sz w:val="24"/>
                <w:szCs w:val="24"/>
              </w:rPr>
              <w:t>③具有规范进行金融机构柜面业务、贷款业务、票据业务等业务操作的能力</w:t>
            </w:r>
            <w:r>
              <w:rPr>
                <w:rFonts w:hint="eastAsia" w:eastAsia="仿宋" w:cs="Times New Roman"/>
                <w:color w:val="000000"/>
                <w:sz w:val="24"/>
                <w:szCs w:val="24"/>
                <w:lang w:eastAsia="zh-CN"/>
              </w:rPr>
              <w:t>；</w:t>
            </w:r>
            <w:r>
              <w:rPr>
                <w:rFonts w:hint="eastAsia" w:eastAsia="仿宋" w:cs="Times New Roman"/>
                <w:color w:val="000000"/>
                <w:sz w:val="24"/>
                <w:szCs w:val="24"/>
              </w:rPr>
              <w:t>④具有依照经济金融基本法律法规进行金融业务风险的基本分析识别与防范的能力</w:t>
            </w:r>
            <w:r>
              <w:rPr>
                <w:rFonts w:hint="eastAsia" w:eastAsia="仿宋" w:cs="Times New Roman"/>
                <w:color w:val="000000"/>
                <w:sz w:val="24"/>
                <w:szCs w:val="24"/>
                <w:lang w:eastAsia="zh-CN"/>
              </w:rPr>
              <w:t>；</w:t>
            </w:r>
            <w:r>
              <w:rPr>
                <w:rFonts w:hint="eastAsia" w:eastAsia="仿宋" w:cs="Times New Roman"/>
                <w:color w:val="000000"/>
                <w:sz w:val="24"/>
                <w:szCs w:val="24"/>
              </w:rPr>
              <w:t>⑤具有适应金融产业数字化发展需求的信息技术基础知识、专业信息技术能力等基本数字化技能</w:t>
            </w:r>
          </w:p>
        </w:tc>
        <w:tc>
          <w:tcPr>
            <w:tcW w:w="1055" w:type="dxa"/>
            <w:tcBorders>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商业银行综合柜台业务、金融风险与合规、银行产品</w:t>
            </w:r>
          </w:p>
        </w:tc>
        <w:tc>
          <w:tcPr>
            <w:tcW w:w="88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1100" w:type="dxa"/>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89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continue"/>
            <w:tcBorders>
              <w:left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综合柜员岗-国际结算业务</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金融单证规范书写、业务信息录入、现金清点整理、假伪币识别收缴、金融设备使用、常用国际金融应用英语沟通读写</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①具有钞票清点、假币鉴别、数字键盘传票录入、形码输入法信息录入等金融服务基本操作能力</w:t>
            </w:r>
            <w:r>
              <w:rPr>
                <w:rFonts w:hint="eastAsia" w:eastAsia="仿宋" w:cs="Times New Roman"/>
                <w:color w:val="000000"/>
                <w:sz w:val="24"/>
                <w:szCs w:val="24"/>
                <w:lang w:eastAsia="zh-CN"/>
              </w:rPr>
              <w:t>；</w:t>
            </w:r>
            <w:r>
              <w:rPr>
                <w:rFonts w:hint="eastAsia" w:eastAsia="仿宋" w:cs="Times New Roman"/>
                <w:color w:val="000000"/>
                <w:sz w:val="24"/>
                <w:szCs w:val="24"/>
              </w:rPr>
              <w:t>②具有运用业务现场的智能化设备、工具和银行柜面、国际结算等业务操作平台办理业务的能力</w:t>
            </w:r>
            <w:r>
              <w:rPr>
                <w:rFonts w:hint="eastAsia" w:eastAsia="仿宋" w:cs="Times New Roman"/>
                <w:color w:val="000000"/>
                <w:sz w:val="24"/>
                <w:szCs w:val="24"/>
                <w:lang w:eastAsia="zh-CN"/>
              </w:rPr>
              <w:t>；</w:t>
            </w:r>
            <w:r>
              <w:rPr>
                <w:rFonts w:hint="eastAsia" w:eastAsia="仿宋" w:cs="Times New Roman"/>
                <w:color w:val="000000"/>
                <w:sz w:val="24"/>
                <w:szCs w:val="24"/>
              </w:rPr>
              <w:t>③具有国际金融业务中基本的英语读、写、译及应用金融服务英语进行基本沟通交流的能力</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国际结算业务（双语）、国际金融函电</w:t>
            </w:r>
          </w:p>
        </w:tc>
        <w:tc>
          <w:tcPr>
            <w:tcW w:w="88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1100" w:type="dxa"/>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89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vMerge w:val="continue"/>
            <w:tcBorders>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综合柜员岗-供应链金融业务</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国内保理业务流程、应收账款质押业务流程</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hint="eastAsia" w:eastAsia="仿宋" w:cs="Times New Roman"/>
                <w:color w:val="000000"/>
                <w:sz w:val="24"/>
                <w:szCs w:val="24"/>
                <w:lang w:eastAsia="zh-CN"/>
              </w:rPr>
            </w:pPr>
            <w:r>
              <w:rPr>
                <w:rFonts w:hint="eastAsia" w:eastAsia="仿宋" w:cs="Times New Roman"/>
                <w:color w:val="000000"/>
                <w:sz w:val="24"/>
                <w:szCs w:val="24"/>
              </w:rPr>
              <w:t>①具有钞票清点、假币鉴别、数字键盘传票录入、形码输入法信息录入等金融服务基本操作能力</w:t>
            </w:r>
            <w:r>
              <w:rPr>
                <w:rFonts w:hint="eastAsia" w:eastAsia="仿宋" w:cs="Times New Roman"/>
                <w:color w:val="000000"/>
                <w:sz w:val="24"/>
                <w:szCs w:val="24"/>
                <w:lang w:eastAsia="zh-CN"/>
              </w:rPr>
              <w:t>；</w:t>
            </w:r>
            <w:r>
              <w:rPr>
                <w:rFonts w:hint="eastAsia" w:eastAsia="仿宋" w:cs="Times New Roman"/>
                <w:color w:val="000000"/>
                <w:sz w:val="24"/>
                <w:szCs w:val="24"/>
              </w:rPr>
              <w:t>②具有运用业务现场的智能化设备、工具和银行柜面、保理、应收账款质押等业务操作平台办理业务的能力</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供应链金融</w:t>
            </w:r>
          </w:p>
        </w:tc>
        <w:tc>
          <w:tcPr>
            <w:tcW w:w="889" w:type="dxa"/>
            <w:gridSpan w:val="2"/>
            <w:vMerge w:val="continue"/>
            <w:tcBorders>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1100" w:type="dxa"/>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c>
          <w:tcPr>
            <w:tcW w:w="899" w:type="dxa"/>
            <w:gridSpan w:val="2"/>
            <w:vMerge w:val="continue"/>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模块3</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客户经理岗</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个人贷款、公司贷款流程操作</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①具有综合运用金融学、经济学、金融科技和信用管理等领域专业知识解决实际业务问题的能力</w:t>
            </w:r>
            <w:r>
              <w:rPr>
                <w:rFonts w:hint="eastAsia" w:eastAsia="仿宋" w:cs="Times New Roman"/>
                <w:color w:val="000000"/>
                <w:sz w:val="24"/>
                <w:szCs w:val="24"/>
                <w:lang w:eastAsia="zh-CN"/>
              </w:rPr>
              <w:t>；</w:t>
            </w:r>
            <w:r>
              <w:rPr>
                <w:rFonts w:hint="eastAsia" w:eastAsia="仿宋" w:cs="Times New Roman"/>
                <w:color w:val="000000"/>
                <w:sz w:val="24"/>
                <w:szCs w:val="24"/>
              </w:rPr>
              <w:t>②具有企业信用风险管理、银行信贷资产信用审核与贷后管理、征信数据分析操作的能力</w:t>
            </w:r>
            <w:r>
              <w:rPr>
                <w:rFonts w:hint="eastAsia" w:eastAsia="仿宋" w:cs="Times New Roman"/>
                <w:color w:val="000000"/>
                <w:sz w:val="24"/>
                <w:szCs w:val="24"/>
                <w:lang w:eastAsia="zh-CN"/>
              </w:rPr>
              <w:t>；</w:t>
            </w:r>
            <w:r>
              <w:rPr>
                <w:rFonts w:hint="eastAsia" w:eastAsia="仿宋" w:cs="Times New Roman"/>
                <w:color w:val="000000"/>
                <w:sz w:val="24"/>
                <w:szCs w:val="24"/>
              </w:rPr>
              <w:t>③具有行业分析、企业风险综合分析和消费者信用分析能力</w:t>
            </w:r>
            <w:r>
              <w:rPr>
                <w:rFonts w:hint="eastAsia" w:eastAsia="仿宋" w:cs="Times New Roman"/>
                <w:color w:val="000000"/>
                <w:sz w:val="24"/>
                <w:szCs w:val="24"/>
                <w:lang w:eastAsia="zh-CN"/>
              </w:rPr>
              <w:t>；</w:t>
            </w:r>
            <w:r>
              <w:rPr>
                <w:rFonts w:hint="eastAsia" w:eastAsia="仿宋" w:cs="Times New Roman"/>
                <w:color w:val="000000"/>
                <w:sz w:val="24"/>
                <w:szCs w:val="24"/>
              </w:rPr>
              <w:t>④具有适应金融产业数字化发展需求的信息技术基础知识、专业信息技术能力等基本数字化技能</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银行信贷实务、企业信用管理、消费者信用管理、信用分析、大数据财务分析、金融风险管理、银行授信业务、大数据信用评级</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highlight w:val="none"/>
                <w:lang w:val="en-US" w:eastAsia="zh-CN"/>
              </w:rPr>
              <w:t>6.67</w:t>
            </w:r>
          </w:p>
        </w:tc>
        <w:tc>
          <w:tcPr>
            <w:tcW w:w="1100" w:type="dxa"/>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highlight w:val="none"/>
              </w:rPr>
              <w:t>120</w:t>
            </w:r>
          </w:p>
        </w:tc>
        <w:tc>
          <w:tcPr>
            <w:tcW w:w="899" w:type="dxa"/>
            <w:gridSpan w:val="2"/>
            <w:tcBorders>
              <w:left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模块4</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理财经理岗</w:t>
            </w:r>
          </w:p>
        </w:tc>
        <w:tc>
          <w:tcPr>
            <w:tcW w:w="1062"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客户需求收集与分析、家庭财务分析与</w:t>
            </w:r>
            <w:r>
              <w:rPr>
                <w:rFonts w:hint="eastAsia" w:eastAsia="仿宋" w:cs="Times New Roman"/>
                <w:color w:val="000000"/>
                <w:sz w:val="24"/>
                <w:szCs w:val="24"/>
                <w:lang w:val="en-US" w:eastAsia="zh-CN"/>
              </w:rPr>
              <w:t>非</w:t>
            </w:r>
            <w:r>
              <w:rPr>
                <w:rFonts w:hint="eastAsia" w:eastAsia="仿宋" w:cs="Times New Roman"/>
                <w:color w:val="000000"/>
                <w:sz w:val="24"/>
                <w:szCs w:val="24"/>
              </w:rPr>
              <w:t>财务分析、现金规划、购房规划、汽车消费规划、教育规划、风险管理与保险规划、投资规划、财产分配与传承规划</w:t>
            </w:r>
          </w:p>
        </w:tc>
        <w:tc>
          <w:tcPr>
            <w:tcW w:w="22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①具有认知、分析银行产品、基金产品、保险产品、信托产品、股票、黄金、房产等投资产品的能力</w:t>
            </w:r>
            <w:r>
              <w:rPr>
                <w:rFonts w:hint="eastAsia" w:eastAsia="仿宋" w:cs="Times New Roman"/>
                <w:color w:val="000000"/>
                <w:sz w:val="24"/>
                <w:szCs w:val="24"/>
                <w:lang w:eastAsia="zh-CN"/>
              </w:rPr>
              <w:t>；</w:t>
            </w:r>
            <w:r>
              <w:rPr>
                <w:rFonts w:hint="eastAsia" w:eastAsia="仿宋" w:cs="Times New Roman"/>
                <w:color w:val="000000"/>
                <w:sz w:val="24"/>
                <w:szCs w:val="24"/>
              </w:rPr>
              <w:t>②具有为客户提供金融产品的相关咨询，帮助其配置合适的金融产品，完成理财规划方案的能力</w:t>
            </w:r>
            <w:r>
              <w:rPr>
                <w:rFonts w:hint="eastAsia" w:eastAsia="仿宋" w:cs="Times New Roman"/>
                <w:color w:val="000000"/>
                <w:sz w:val="24"/>
                <w:szCs w:val="24"/>
                <w:lang w:eastAsia="zh-CN"/>
              </w:rPr>
              <w:t>；</w:t>
            </w:r>
            <w:r>
              <w:rPr>
                <w:rFonts w:hint="eastAsia" w:eastAsia="仿宋" w:cs="Times New Roman"/>
                <w:color w:val="000000"/>
                <w:sz w:val="24"/>
                <w:szCs w:val="24"/>
              </w:rPr>
              <w:t>③具有进行客户关系维护和管理，提供持续跟踪服务的能力</w:t>
            </w:r>
            <w:r>
              <w:rPr>
                <w:rFonts w:hint="eastAsia" w:eastAsia="仿宋" w:cs="Times New Roman"/>
                <w:color w:val="000000"/>
                <w:sz w:val="24"/>
                <w:szCs w:val="24"/>
                <w:lang w:eastAsia="zh-CN"/>
              </w:rPr>
              <w:t>；</w:t>
            </w:r>
            <w:r>
              <w:rPr>
                <w:rFonts w:hint="eastAsia" w:eastAsia="仿宋" w:cs="Times New Roman"/>
                <w:color w:val="000000"/>
                <w:sz w:val="24"/>
                <w:szCs w:val="24"/>
              </w:rPr>
              <w:t>④具有识别、分析和管理金融机构和客户风险的能力</w:t>
            </w:r>
            <w:r>
              <w:rPr>
                <w:rFonts w:hint="eastAsia" w:eastAsia="仿宋" w:cs="Times New Roman"/>
                <w:color w:val="000000"/>
                <w:sz w:val="24"/>
                <w:szCs w:val="24"/>
                <w:lang w:eastAsia="zh-CN"/>
              </w:rPr>
              <w:t>；</w:t>
            </w:r>
            <w:r>
              <w:rPr>
                <w:rFonts w:hint="eastAsia" w:eastAsia="仿宋" w:cs="Times New Roman"/>
                <w:color w:val="000000"/>
                <w:sz w:val="24"/>
                <w:szCs w:val="24"/>
              </w:rPr>
              <w:t>⑤具有运用本专业相关法律法规、行业规定从事职业活动的能力</w:t>
            </w:r>
            <w:r>
              <w:rPr>
                <w:rFonts w:hint="eastAsia" w:eastAsia="仿宋" w:cs="Times New Roman"/>
                <w:color w:val="000000"/>
                <w:sz w:val="24"/>
                <w:szCs w:val="24"/>
                <w:lang w:eastAsia="zh-CN"/>
              </w:rPr>
              <w:t>；</w:t>
            </w:r>
            <w:r>
              <w:rPr>
                <w:rFonts w:hint="eastAsia" w:eastAsia="仿宋" w:cs="Times New Roman"/>
                <w:color w:val="000000"/>
                <w:sz w:val="24"/>
                <w:szCs w:val="24"/>
              </w:rPr>
              <w:t>⑥具有良好的语言和文字表达能力、沟通合作能力</w:t>
            </w:r>
          </w:p>
        </w:tc>
        <w:tc>
          <w:tcPr>
            <w:tcW w:w="1055"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个人理财规划、个人理财、银行产品、证券投资基金、金融营销、金融风险管理</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highlight w:val="none"/>
                <w:lang w:val="en-US" w:eastAsia="zh-CN"/>
              </w:rPr>
              <w:t>6.67</w:t>
            </w:r>
          </w:p>
        </w:tc>
        <w:tc>
          <w:tcPr>
            <w:tcW w:w="1100" w:type="dxa"/>
            <w:tcBorders>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highlight w:val="none"/>
              </w:rPr>
              <w:t>120</w:t>
            </w:r>
          </w:p>
        </w:tc>
        <w:tc>
          <w:tcPr>
            <w:tcW w:w="899" w:type="dxa"/>
            <w:gridSpan w:val="2"/>
            <w:tcBorders>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ascii="仿宋" w:hAnsi="仿宋" w:eastAsia="仿宋" w:cs="仿宋"/>
                <w:color w:val="000000"/>
                <w:sz w:val="24"/>
                <w:szCs w:val="24"/>
              </w:rPr>
              <w:t>机考评分</w:t>
            </w:r>
          </w:p>
        </w:tc>
      </w:tr>
    </w:tbl>
    <w:p>
      <w:pPr>
        <w:jc w:val="center"/>
        <w:rPr>
          <w:rFonts w:hint="eastAsia" w:eastAsia="宋体"/>
          <w:b/>
          <w:color w:val="000000"/>
          <w:sz w:val="24"/>
          <w:szCs w:val="24"/>
          <w:lang w:eastAsia="zh-CN"/>
        </w:rPr>
      </w:pPr>
      <w:r>
        <w:rPr>
          <w:rFonts w:hint="eastAsia"/>
          <w:b/>
          <w:color w:val="000000"/>
          <w:sz w:val="24"/>
          <w:szCs w:val="24"/>
        </w:rPr>
        <w:t xml:space="preserve"> </w:t>
      </w:r>
    </w:p>
    <w:p>
      <w:pPr>
        <w:jc w:val="both"/>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color w:val="auto"/>
          <w:sz w:val="28"/>
          <w:szCs w:val="28"/>
          <w:lang w:val="en-US" w:eastAsia="zh-CN"/>
        </w:rPr>
        <w:t>1.</w:t>
      </w:r>
      <w:r>
        <w:rPr>
          <w:rFonts w:hint="default" w:ascii="仿宋_GB2312" w:hAnsi="仿宋_GB2312" w:eastAsia="仿宋_GB2312" w:cs="仿宋_GB2312"/>
          <w:b/>
          <w:bCs/>
          <w:sz w:val="28"/>
          <w:szCs w:val="28"/>
          <w:lang w:val="en-US" w:eastAsia="zh-CN"/>
        </w:rPr>
        <w:t>大堂经理岗</w:t>
      </w:r>
    </w:p>
    <w:p>
      <w:pPr>
        <w:jc w:val="both"/>
        <w:rPr>
          <w:b/>
          <w:color w:val="000000"/>
          <w:sz w:val="24"/>
          <w:szCs w:val="24"/>
        </w:rPr>
      </w:pPr>
      <w:r>
        <w:rPr>
          <w:rFonts w:hint="eastAsia" w:ascii="仿宋_GB2312" w:hAnsi="仿宋_GB2312" w:eastAsia="仿宋_GB2312" w:cs="仿宋_GB2312"/>
          <w:b/>
          <w:bCs/>
          <w:sz w:val="28"/>
          <w:szCs w:val="28"/>
          <w:lang w:val="en-US" w:eastAsia="zh-CN"/>
        </w:rPr>
        <w:t>（1）</w:t>
      </w:r>
      <w:r>
        <w:rPr>
          <w:rFonts w:hint="default" w:ascii="仿宋_GB2312" w:hAnsi="仿宋_GB2312" w:eastAsia="仿宋_GB2312" w:cs="仿宋_GB2312"/>
          <w:b/>
          <w:bCs/>
          <w:color w:val="auto"/>
          <w:sz w:val="28"/>
          <w:szCs w:val="28"/>
        </w:rPr>
        <w:t>大堂经理岗-厅堂业务</w:t>
      </w:r>
    </w:p>
    <w:tbl>
      <w:tblPr>
        <w:tblStyle w:val="16"/>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034"/>
        <w:gridCol w:w="1754"/>
        <w:gridCol w:w="249"/>
        <w:gridCol w:w="1477"/>
        <w:gridCol w:w="1717"/>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78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1（子模块1）</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31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78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大堂经理岗-厅堂业务</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3155"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eastAsia="仿宋" w:cs="Times New Roman"/>
                <w:color w:val="000000"/>
                <w:sz w:val="24"/>
                <w:szCs w:val="24"/>
                <w:lang w:eastAsia="zh-CN"/>
              </w:rPr>
            </w:pPr>
            <w:r>
              <w:rPr>
                <w:rFonts w:hint="eastAsia" w:eastAsia="仿宋" w:cs="Times New Roman"/>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66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66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以银行大堂为背景采用动画的方式模拟银行大堂经理工作情况，根据任务说明和页面中显示的信息，考核选手对银行大堂经理岗业务处理流程及规范的掌握情况，包括服务礼仪接待、客户引导与分流、客户问询处理、单据填写</w:t>
            </w:r>
            <w:r>
              <w:rPr>
                <w:rFonts w:eastAsia="仿宋" w:cs="Times New Roman"/>
                <w:color w:val="000000"/>
                <w:sz w:val="24"/>
                <w:szCs w:val="24"/>
              </w:rPr>
              <w:t>、</w:t>
            </w:r>
            <w:r>
              <w:rPr>
                <w:rFonts w:hint="eastAsia" w:eastAsia="仿宋" w:cs="Times New Roman"/>
                <w:color w:val="000000"/>
                <w:sz w:val="24"/>
                <w:szCs w:val="24"/>
              </w:rPr>
              <w:t>业务信息录入、假伪币识别收缴、残</w:t>
            </w:r>
            <w:r>
              <w:rPr>
                <w:rFonts w:eastAsia="仿宋" w:cs="Times New Roman"/>
                <w:color w:val="000000"/>
                <w:sz w:val="24"/>
                <w:szCs w:val="24"/>
              </w:rPr>
              <w:t>/污损币的兑换、异议及投诉处理、营销转介等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66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sym w:font="Wingdings" w:char="F0FE"/>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03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1477"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717"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438"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根据任务说明和题目描述，勾选正确的一个或多个选项，完成服务礼仪接待</w:t>
            </w:r>
          </w:p>
        </w:tc>
        <w:tc>
          <w:tcPr>
            <w:tcW w:w="147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1.识别题目要求</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2.勾选正确答案</w:t>
            </w:r>
          </w:p>
        </w:tc>
        <w:tc>
          <w:tcPr>
            <w:tcW w:w="17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1.大堂经理礼仪规范的原则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2.大堂经理仪容及仪态礼仪</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3.大堂经理的沟通礼仪</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4.大堂经理客户分类管理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5.大堂经理现场八大流程管理</w:t>
            </w:r>
          </w:p>
        </w:tc>
        <w:tc>
          <w:tcPr>
            <w:tcW w:w="143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根据任务说明和重要提示在系统中选择正确的答案，完成客户询问服务处理</w:t>
            </w:r>
          </w:p>
        </w:tc>
        <w:tc>
          <w:tcPr>
            <w:tcW w:w="147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1.接待客户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2.客户引导</w:t>
            </w:r>
          </w:p>
        </w:tc>
        <w:tc>
          <w:tcPr>
            <w:tcW w:w="17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1.大堂经理的沟通礼仪</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2.公司开户资料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3.金融专用设备使用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4.客户分流与引导</w:t>
            </w:r>
          </w:p>
        </w:tc>
        <w:tc>
          <w:tcPr>
            <w:tcW w:w="143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任务3</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根据任务说明和重要提示在系统中选择正确的答案、输入单据内容，完成单据填写与审核</w:t>
            </w:r>
          </w:p>
        </w:tc>
        <w:tc>
          <w:tcPr>
            <w:tcW w:w="147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1.接待客户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2.协助取号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3.引导填单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4.单据填写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5.单据审核</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6.客户引导</w:t>
            </w:r>
          </w:p>
        </w:tc>
        <w:tc>
          <w:tcPr>
            <w:tcW w:w="17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1.大堂经理的沟通礼仪</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2.金融业务软件使用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3.跨境汇款业务操作</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4.境外汇款申请书的填写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5.客户分流与引导</w:t>
            </w:r>
          </w:p>
        </w:tc>
        <w:tc>
          <w:tcPr>
            <w:tcW w:w="143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w:t>
            </w:r>
            <w:r>
              <w:rPr>
                <w:rFonts w:eastAsia="仿宋" w:cs="Times New Roman"/>
                <w:color w:val="000000"/>
                <w:sz w:val="24"/>
                <w:szCs w:val="24"/>
              </w:rPr>
              <w:t>4</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根据任务说明和重要提示在系统中选择正确的答案、输入单据内容，完成代客操作</w:t>
            </w:r>
          </w:p>
        </w:tc>
        <w:tc>
          <w:tcPr>
            <w:tcW w:w="147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1.接待客户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2.协助取号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3.引导填单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4.单据填写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5.单据审核</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6.客户引导</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7.疑难解答</w:t>
            </w:r>
          </w:p>
        </w:tc>
        <w:tc>
          <w:tcPr>
            <w:tcW w:w="17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1.大堂经理的沟通礼仪</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2.客户分流与引导</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3.挂失支付通知书的填写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4.金融业务风险的识别与防范</w:t>
            </w:r>
          </w:p>
        </w:tc>
        <w:tc>
          <w:tcPr>
            <w:tcW w:w="143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任务5</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rPr>
              <w:t>根据任务说明和重要提示在系统中选择正确的答案、输入单据内容，完成柜员资料收取</w:t>
            </w:r>
          </w:p>
        </w:tc>
        <w:tc>
          <w:tcPr>
            <w:tcW w:w="147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1.接待客户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2.协助取号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3.引导填单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4.单据填写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5.单据审核</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6.客户引导</w:t>
            </w:r>
          </w:p>
        </w:tc>
        <w:tc>
          <w:tcPr>
            <w:tcW w:w="17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1.大堂经理的沟通礼仪</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2.银行本票申请资料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3.银行本票申请书的填写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4.客户分流与引导</w:t>
            </w:r>
          </w:p>
        </w:tc>
        <w:tc>
          <w:tcPr>
            <w:tcW w:w="143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3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2003"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s="Times New Roman"/>
                <w:color w:val="000000"/>
                <w:sz w:val="24"/>
                <w:szCs w:val="24"/>
              </w:rPr>
            </w:pPr>
            <w:r>
              <w:rPr>
                <w:rFonts w:hint="eastAsia" w:ascii="仿宋_GB2312" w:eastAsia="仿宋_GB2312"/>
                <w:sz w:val="24"/>
                <w:szCs w:val="24"/>
                <w:highlight w:val="none"/>
              </w:rPr>
              <w:t>更多题</w:t>
            </w:r>
            <w:r>
              <w:rPr>
                <w:rFonts w:hint="eastAsia" w:ascii="仿宋_GB2312" w:eastAsia="仿宋_GB2312"/>
                <w:sz w:val="24"/>
                <w:szCs w:val="24"/>
                <w:highlight w:val="none"/>
                <w:lang w:val="en-US" w:eastAsia="zh-CN"/>
              </w:rPr>
              <w:t>目</w:t>
            </w:r>
            <w:r>
              <w:rPr>
                <w:rFonts w:hint="eastAsia" w:ascii="仿宋_GB2312" w:eastAsia="仿宋_GB2312"/>
                <w:sz w:val="24"/>
                <w:szCs w:val="24"/>
                <w:highlight w:val="none"/>
              </w:rPr>
              <w:t>详见题库素材包</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7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43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78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4881"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1.用经济金融基础理论来解释生活中的经济现象并运用于实践的能力；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2.按照金融从业人员礼仪规范正确进行各项业务的客户接待、业务引导的能力；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3.点钞、假币鉴别等基本金融职业技能；</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4.根据金融礼仪规范开展客户服务和产品营销的能力；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5.根据金融营销基本策略技巧开拓和维护客户，较好地进行金融产品营销的能力；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6.根据相关法律法规和行业规范开展金融服务和业务风险审查的能力；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7.依照经济金融基本法律法规进行金融业务风险的基本分析识别与防范的能力；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8.适应金融产业数字化发展需求的信息技术基础知识、专业信息技术能力等基本数字化技能；</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eastAsia="仿宋" w:cs="仿宋"/>
                <w:color w:val="000000"/>
                <w:kern w:val="0"/>
                <w:sz w:val="24"/>
                <w:szCs w:val="24"/>
                <w:highlight w:val="none"/>
                <w:lang w:val="en-US" w:eastAsia="zh-CN" w:bidi="zh-CN"/>
              </w:rPr>
              <w:t>9.较好的语言表达、沟通协调和团队合作的能力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78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4881"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GB/T32320-2015银行营业网点服务基本要求</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银行业专业人员职业资格制度暂行规定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66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66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jc w:val="center"/>
        <w:rPr>
          <w:rFonts w:hint="eastAsia"/>
          <w:b/>
          <w:color w:val="000000"/>
          <w:sz w:val="24"/>
          <w:szCs w:val="24"/>
        </w:rPr>
      </w:pPr>
    </w:p>
    <w:p>
      <w:pPr>
        <w:jc w:val="both"/>
        <w:rPr>
          <w:rFonts w:hint="eastAsia" w:ascii="仿宋" w:hAnsi="仿宋" w:eastAsia="仿宋" w:cs="仿宋"/>
          <w:b/>
          <w:bCs w:val="0"/>
          <w:color w:val="000000"/>
          <w:sz w:val="24"/>
          <w:szCs w:val="24"/>
        </w:rPr>
      </w:pPr>
      <w:r>
        <w:rPr>
          <w:rFonts w:hint="eastAsia" w:ascii="仿宋_GB2312" w:hAnsi="仿宋_GB2312" w:eastAsia="仿宋_GB2312" w:cs="仿宋_GB2312"/>
          <w:b/>
          <w:bCs/>
          <w:sz w:val="28"/>
          <w:szCs w:val="28"/>
          <w:lang w:val="en-US" w:eastAsia="zh-CN"/>
        </w:rPr>
        <w:t>（2）</w:t>
      </w:r>
      <w:r>
        <w:rPr>
          <w:rFonts w:hint="default" w:ascii="仿宋_GB2312" w:hAnsi="仿宋_GB2312" w:eastAsia="仿宋_GB2312" w:cs="仿宋_GB2312"/>
          <w:b/>
          <w:bCs/>
          <w:color w:val="auto"/>
          <w:sz w:val="28"/>
          <w:szCs w:val="28"/>
        </w:rPr>
        <w:t>大堂经理岗-保险咨询业务</w:t>
      </w:r>
    </w:p>
    <w:tbl>
      <w:tblPr>
        <w:tblStyle w:val="16"/>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984"/>
        <w:gridCol w:w="1435"/>
        <w:gridCol w:w="698"/>
        <w:gridCol w:w="1643"/>
        <w:gridCol w:w="1458"/>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41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模块1（子模块</w:t>
            </w:r>
            <w:r>
              <w:rPr>
                <w:rFonts w:eastAsia="仿宋" w:cs="Times New Roman"/>
                <w:color w:val="000000"/>
                <w:sz w:val="24"/>
                <w:szCs w:val="24"/>
              </w:rPr>
              <w:t>2</w:t>
            </w:r>
            <w:r>
              <w:rPr>
                <w:rFonts w:hint="eastAsia" w:eastAsia="仿宋" w:cs="Times New Roman"/>
                <w:color w:val="000000"/>
                <w:sz w:val="24"/>
                <w:szCs w:val="24"/>
              </w:rPr>
              <w:t>）</w:t>
            </w:r>
          </w:p>
        </w:tc>
        <w:tc>
          <w:tcPr>
            <w:tcW w:w="234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276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41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大堂经理岗-保险咨询业务</w:t>
            </w:r>
          </w:p>
        </w:tc>
        <w:tc>
          <w:tcPr>
            <w:tcW w:w="234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276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52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52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该模块通过任务中提供的保险经纪服务委托协议书和保险经纪业务流程描述完成保险经纪业务操作；通过提供的客户身份信息、客户保险信息和每千元趸交或年交保费对应的年领金额完成保险代理业务操作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52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98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2133"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164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458"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31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21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根据任务说明和系统中的资料完成保险经纪业务处理</w:t>
            </w:r>
          </w:p>
        </w:tc>
        <w:tc>
          <w:tcPr>
            <w:tcW w:w="164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1.投保委托</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2.拟定投保方案</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3.招标</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4.报价分析</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5.中标确认</w:t>
            </w:r>
          </w:p>
        </w:tc>
        <w:tc>
          <w:tcPr>
            <w:tcW w:w="145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1.客户保险服务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2.保险经纪中介业务流程操作与处理</w:t>
            </w:r>
          </w:p>
        </w:tc>
        <w:tc>
          <w:tcPr>
            <w:tcW w:w="13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1564"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213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根据任务说明和系统中的资料完成保险代理业务</w:t>
            </w:r>
          </w:p>
        </w:tc>
        <w:tc>
          <w:tcPr>
            <w:tcW w:w="164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1.代理保险保单填写</w:t>
            </w:r>
          </w:p>
        </w:tc>
        <w:tc>
          <w:tcPr>
            <w:tcW w:w="145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1.保险代理中介业务操作与处理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2.保单的构成</w:t>
            </w:r>
          </w:p>
        </w:tc>
        <w:tc>
          <w:tcPr>
            <w:tcW w:w="13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564" w:type="dxa"/>
            <w:vMerge w:val="continue"/>
            <w:tcBorders>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984"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213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Times New Roman"/>
                <w:color w:val="000000"/>
                <w:sz w:val="24"/>
                <w:szCs w:val="24"/>
              </w:rPr>
            </w:pPr>
            <w:r>
              <w:rPr>
                <w:rFonts w:hint="eastAsia" w:ascii="仿宋_GB2312" w:eastAsia="仿宋_GB2312"/>
                <w:sz w:val="24"/>
                <w:szCs w:val="24"/>
                <w:highlight w:val="none"/>
              </w:rPr>
              <w:t>更多样题详见题库素材包</w:t>
            </w:r>
          </w:p>
        </w:tc>
        <w:tc>
          <w:tcPr>
            <w:tcW w:w="1643"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45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3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41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110"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1.开展市场调查、客户拓展、量身定制保险理财规划、保险产品推广及销售等工作的能力；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2.保险代理、保险经纪等中介业务操作与处理的能力；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3.为各类企事业单位进行风险评估、提供合理化防灾防损建议的能力；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4.保险信息处理操作处理等能力；</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eastAsia="仿宋" w:cs="仿宋"/>
                <w:color w:val="000000"/>
                <w:kern w:val="0"/>
                <w:sz w:val="24"/>
                <w:szCs w:val="24"/>
                <w:highlight w:val="none"/>
                <w:lang w:val="en-US" w:eastAsia="zh-CN" w:bidi="zh-CN"/>
              </w:rPr>
              <w:t>5.较好的语言表达、沟通协调和团队合作的能力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41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110"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 32320-2015 银行营业网点服务基本要求</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JR/T 0038—2007 保险业标准化工作指南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52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529"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jc w:val="center"/>
        <w:rPr>
          <w:b/>
          <w:color w:val="000000"/>
          <w:sz w:val="24"/>
          <w:szCs w:val="24"/>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color w:val="auto"/>
          <w:sz w:val="28"/>
          <w:szCs w:val="28"/>
        </w:rPr>
      </w:pPr>
      <w:r>
        <w:rPr>
          <w:rFonts w:hint="eastAsia" w:ascii="仿宋_GB2312" w:hAnsi="仿宋_GB2312" w:eastAsia="仿宋_GB2312" w:cs="仿宋_GB2312"/>
          <w:b/>
          <w:bCs/>
          <w:sz w:val="28"/>
          <w:szCs w:val="28"/>
          <w:lang w:val="en-US" w:eastAsia="zh-CN"/>
        </w:rPr>
        <w:t>（3）</w:t>
      </w:r>
      <w:r>
        <w:rPr>
          <w:rFonts w:hint="default" w:ascii="仿宋_GB2312" w:hAnsi="仿宋_GB2312" w:eastAsia="仿宋_GB2312" w:cs="仿宋_GB2312"/>
          <w:b/>
          <w:bCs/>
          <w:color w:val="auto"/>
          <w:sz w:val="28"/>
          <w:szCs w:val="28"/>
        </w:rPr>
        <w:t>大堂经理岗-证券咨询业务</w:t>
      </w:r>
    </w:p>
    <w:tbl>
      <w:tblPr>
        <w:tblStyle w:val="16"/>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486"/>
        <w:gridCol w:w="1221"/>
        <w:gridCol w:w="700"/>
        <w:gridCol w:w="1600"/>
        <w:gridCol w:w="1301"/>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70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模块1（子模块</w:t>
            </w:r>
            <w:r>
              <w:rPr>
                <w:rFonts w:eastAsia="仿宋" w:cs="Times New Roman"/>
                <w:color w:val="000000"/>
                <w:sz w:val="24"/>
                <w:szCs w:val="24"/>
              </w:rPr>
              <w:t>3</w:t>
            </w:r>
            <w:r>
              <w:rPr>
                <w:rFonts w:hint="eastAsia" w:eastAsia="仿宋" w:cs="Times New Roman"/>
                <w:color w:val="000000"/>
                <w:sz w:val="24"/>
                <w:szCs w:val="24"/>
              </w:rPr>
              <w:t>）</w:t>
            </w:r>
          </w:p>
        </w:tc>
        <w:tc>
          <w:tcPr>
            <w:tcW w:w="2300"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273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70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大堂经理岗-证券咨询业务</w:t>
            </w:r>
          </w:p>
        </w:tc>
        <w:tc>
          <w:tcPr>
            <w:tcW w:w="2300"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273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744"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744"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该模块根据操作区域中给出的</w:t>
            </w:r>
            <w:r>
              <w:rPr>
                <w:rFonts w:eastAsia="仿宋" w:cs="Times New Roman"/>
                <w:color w:val="000000"/>
                <w:sz w:val="24"/>
                <w:szCs w:val="24"/>
              </w:rPr>
              <w:t>K线组合形态图进行识别，</w:t>
            </w:r>
            <w:r>
              <w:rPr>
                <w:rFonts w:hint="eastAsia" w:eastAsia="仿宋" w:cs="Times New Roman"/>
                <w:color w:val="000000"/>
                <w:sz w:val="24"/>
                <w:szCs w:val="24"/>
              </w:rPr>
              <w:t>在系统中对应的位置</w:t>
            </w:r>
            <w:r>
              <w:rPr>
                <w:rFonts w:eastAsia="仿宋" w:cs="Times New Roman"/>
                <w:color w:val="000000"/>
                <w:sz w:val="24"/>
                <w:szCs w:val="24"/>
              </w:rPr>
              <w:t>选择相应的名称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744"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48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192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1600"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30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43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1385"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486"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1921"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根据操作区域中给出的</w:t>
            </w:r>
            <w:r>
              <w:rPr>
                <w:rFonts w:eastAsia="仿宋" w:cs="Times New Roman"/>
                <w:color w:val="000000"/>
                <w:sz w:val="24"/>
                <w:szCs w:val="24"/>
              </w:rPr>
              <w:t>K线组合形态图进行识别，选择相应的名称</w:t>
            </w:r>
            <w:r>
              <w:rPr>
                <w:rFonts w:hint="eastAsia" w:eastAsia="仿宋" w:cs="Times New Roman"/>
                <w:color w:val="000000"/>
                <w:sz w:val="24"/>
                <w:szCs w:val="24"/>
              </w:rPr>
              <w:t>，完成K线组合形态分析</w:t>
            </w:r>
          </w:p>
        </w:tc>
        <w:tc>
          <w:tcPr>
            <w:tcW w:w="1600" w:type="dxa"/>
            <w:tcBorders>
              <w:top w:val="single" w:color="auto" w:sz="4" w:space="0"/>
              <w:left w:val="single" w:color="auto" w:sz="4" w:space="0"/>
              <w:bottom w:val="single" w:color="auto" w:sz="4" w:space="0"/>
              <w:right w:val="single" w:color="auto" w:sz="4" w:space="0"/>
            </w:tcBorders>
            <w:vAlign w:val="center"/>
          </w:tcPr>
          <w:p>
            <w:pPr>
              <w:pStyle w:val="15"/>
              <w:spacing w:after="0"/>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1.识别K线组合形态图</w:t>
            </w:r>
          </w:p>
          <w:p>
            <w:pPr>
              <w:pStyle w:val="15"/>
              <w:spacing w:after="0"/>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2.输入正确的名称</w:t>
            </w:r>
          </w:p>
        </w:tc>
        <w:tc>
          <w:tcPr>
            <w:tcW w:w="1301"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1.K线组合形态分析</w:t>
            </w:r>
          </w:p>
        </w:tc>
        <w:tc>
          <w:tcPr>
            <w:tcW w:w="1436" w:type="dxa"/>
            <w:tcBorders>
              <w:top w:val="single" w:color="auto" w:sz="4" w:space="0"/>
              <w:left w:val="single" w:color="auto" w:sz="4" w:space="0"/>
              <w:bottom w:val="single" w:color="auto" w:sz="4" w:space="0"/>
              <w:right w:val="single" w:color="auto" w:sz="4" w:space="0"/>
            </w:tcBorders>
            <w:vAlign w:val="center"/>
          </w:tcPr>
          <w:p>
            <w:pPr>
              <w:pStyle w:val="15"/>
              <w:spacing w:after="0"/>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1.安全操作规范（0%）</w:t>
            </w:r>
          </w:p>
          <w:p>
            <w:pPr>
              <w:pStyle w:val="15"/>
              <w:spacing w:after="0"/>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2.专业操作工艺（0%)</w:t>
            </w:r>
          </w:p>
          <w:p>
            <w:pPr>
              <w:pStyle w:val="15"/>
              <w:spacing w:after="0"/>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385" w:type="dxa"/>
            <w:vMerge w:val="continue"/>
            <w:tcBorders>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486"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192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Times New Roman"/>
                <w:color w:val="000000"/>
                <w:sz w:val="24"/>
                <w:szCs w:val="24"/>
              </w:rPr>
            </w:pPr>
            <w:r>
              <w:rPr>
                <w:rFonts w:hint="eastAsia" w:ascii="仿宋_GB2312" w:eastAsia="仿宋_GB2312"/>
                <w:sz w:val="24"/>
                <w:szCs w:val="24"/>
                <w:highlight w:val="none"/>
              </w:rPr>
              <w:t>更多样题详见题库素材包</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cs="Times New Roman"/>
                <w:color w:val="000000"/>
                <w:sz w:val="24"/>
                <w:szCs w:val="24"/>
              </w:rPr>
            </w:pPr>
            <w:r>
              <w:rPr>
                <w:rFonts w:hint="eastAsia" w:ascii="仿宋_GB2312" w:eastAsia="仿宋_GB2312"/>
                <w:sz w:val="24"/>
                <w:szCs w:val="24"/>
              </w:rPr>
              <w:t>......</w:t>
            </w:r>
          </w:p>
        </w:tc>
        <w:tc>
          <w:tcPr>
            <w:tcW w:w="1301"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rPr>
            </w:pPr>
          </w:p>
        </w:tc>
        <w:tc>
          <w:tcPr>
            <w:tcW w:w="1436" w:type="dxa"/>
            <w:tcBorders>
              <w:top w:val="single" w:color="auto" w:sz="4" w:space="0"/>
              <w:left w:val="single" w:color="auto" w:sz="4" w:space="0"/>
              <w:bottom w:val="single" w:color="auto" w:sz="4" w:space="0"/>
              <w:right w:val="single" w:color="auto" w:sz="4" w:space="0"/>
            </w:tcBorders>
            <w:vAlign w:val="center"/>
          </w:tcPr>
          <w:p>
            <w:pPr>
              <w:pStyle w:val="15"/>
              <w:spacing w:after="0"/>
              <w:ind w:left="0" w:leftChars="0" w:firstLine="0" w:firstLineChars="0"/>
              <w:rPr>
                <w:rFonts w:hint="eastAsia"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70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037" w:type="dxa"/>
            <w:gridSpan w:val="4"/>
            <w:tcBorders>
              <w:top w:val="single" w:color="auto" w:sz="4" w:space="0"/>
              <w:left w:val="single" w:color="auto" w:sz="4" w:space="0"/>
              <w:bottom w:val="single" w:color="auto" w:sz="4" w:space="0"/>
              <w:right w:val="single" w:color="auto" w:sz="4" w:space="0"/>
            </w:tcBorders>
            <w:vAlign w:val="center"/>
          </w:tcPr>
          <w:p>
            <w:pPr>
              <w:pStyle w:val="15"/>
              <w:spacing w:after="0"/>
              <w:ind w:left="0" w:leftChars="0"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1.为客户提供证券产品分析、投资分析等服务的能力</w:t>
            </w:r>
            <w:r>
              <w:rPr>
                <w:rFonts w:hint="eastAsia" w:ascii="仿宋" w:hAnsi="仿宋" w:eastAsia="仿宋" w:cs="仿宋"/>
                <w:color w:val="000000"/>
                <w:sz w:val="24"/>
                <w:szCs w:val="24"/>
                <w:lang w:eastAsia="zh-CN"/>
              </w:rPr>
              <w:t>；</w:t>
            </w:r>
          </w:p>
          <w:p>
            <w:pPr>
              <w:pStyle w:val="15"/>
              <w:spacing w:after="0"/>
              <w:ind w:left="0" w:leftChars="0"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2.使用金融领域基本数字化工具的能力</w:t>
            </w:r>
            <w:r>
              <w:rPr>
                <w:rFonts w:hint="eastAsia" w:ascii="仿宋" w:hAnsi="仿宋" w:eastAsia="仿宋" w:cs="仿宋"/>
                <w:color w:val="000000"/>
                <w:sz w:val="24"/>
                <w:szCs w:val="24"/>
                <w:lang w:eastAsia="zh-CN"/>
              </w:rPr>
              <w:t>；</w:t>
            </w:r>
          </w:p>
          <w:p>
            <w:pPr>
              <w:pStyle w:val="15"/>
              <w:spacing w:after="0"/>
              <w:ind w:left="0" w:leftChars="0"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3.使用金融服务礼仪、沟通表达、团队协作的能力</w:t>
            </w:r>
            <w:r>
              <w:rPr>
                <w:rFonts w:hint="eastAsia" w:ascii="仿宋" w:hAnsi="仿宋" w:eastAsia="仿宋" w:cs="仿宋"/>
                <w:color w:val="000000"/>
                <w:sz w:val="24"/>
                <w:szCs w:val="24"/>
                <w:lang w:eastAsia="zh-CN"/>
              </w:rPr>
              <w:t>；</w:t>
            </w:r>
          </w:p>
          <w:p>
            <w:pPr>
              <w:pStyle w:val="15"/>
              <w:spacing w:after="0"/>
              <w:ind w:left="0" w:leftChars="0"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4.依照证券市场基本法律法规、行业相关绿色生产、安全防护、质量管理等要求办理相关业务的能力</w:t>
            </w:r>
            <w:r>
              <w:rPr>
                <w:rFonts w:hint="eastAsia" w:ascii="仿宋" w:hAnsi="仿宋" w:eastAsia="仿宋" w:cs="仿宋"/>
                <w:color w:val="000000"/>
                <w:sz w:val="24"/>
                <w:szCs w:val="24"/>
                <w:lang w:eastAsia="zh-CN"/>
              </w:rPr>
              <w:t>；</w:t>
            </w:r>
          </w:p>
          <w:p>
            <w:pPr>
              <w:pStyle w:val="15"/>
              <w:spacing w:after="0"/>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5.较好的语言表达、沟通协调和团队合作的能力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70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037" w:type="dxa"/>
            <w:gridSpan w:val="4"/>
            <w:tcBorders>
              <w:top w:val="single" w:color="auto" w:sz="4" w:space="0"/>
              <w:left w:val="single" w:color="auto" w:sz="4" w:space="0"/>
              <w:bottom w:val="single" w:color="auto" w:sz="4" w:space="0"/>
              <w:right w:val="single" w:color="auto" w:sz="4" w:space="0"/>
            </w:tcBorders>
            <w:vAlign w:val="center"/>
          </w:tcPr>
          <w:p>
            <w:pPr>
              <w:pStyle w:val="15"/>
              <w:spacing w:after="0"/>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中华人民共和国商业银行法</w:t>
            </w:r>
          </w:p>
          <w:p>
            <w:pPr>
              <w:pStyle w:val="15"/>
              <w:spacing w:after="0"/>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GB/T 32320-2015 银行营业网点服务基本要求</w:t>
            </w:r>
          </w:p>
          <w:p>
            <w:pPr>
              <w:pStyle w:val="15"/>
              <w:spacing w:after="0"/>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JR/T 0112-2014 证券期货业信息系统审计规范</w:t>
            </w:r>
          </w:p>
          <w:p>
            <w:pPr>
              <w:pStyle w:val="15"/>
              <w:spacing w:after="0"/>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JR/T 0183-2020 证券期货业投资者识别码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744"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744"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adjustRightInd w:val="0"/>
        <w:snapToGrid w:val="0"/>
        <w:spacing w:line="360" w:lineRule="auto"/>
        <w:ind w:firstLine="0" w:firstLineChars="0"/>
        <w:jc w:val="left"/>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sz w:val="28"/>
          <w:szCs w:val="28"/>
          <w:lang w:val="en-US" w:eastAsia="zh-CN"/>
        </w:rPr>
        <w:t>2.</w:t>
      </w:r>
      <w:r>
        <w:rPr>
          <w:rFonts w:hint="default" w:ascii="仿宋_GB2312" w:hAnsi="仿宋_GB2312" w:eastAsia="仿宋_GB2312" w:cs="仿宋_GB2312"/>
          <w:b/>
          <w:bCs/>
          <w:color w:val="auto"/>
          <w:sz w:val="28"/>
          <w:szCs w:val="28"/>
          <w:lang w:val="en-US" w:eastAsia="zh-CN"/>
        </w:rPr>
        <w:t>综合柜员岗</w:t>
      </w:r>
    </w:p>
    <w:p>
      <w:pPr>
        <w:adjustRightInd w:val="0"/>
        <w:snapToGrid w:val="0"/>
        <w:spacing w:line="360" w:lineRule="auto"/>
        <w:ind w:firstLine="0" w:firstLineChars="0"/>
        <w:jc w:val="left"/>
        <w:rPr>
          <w:rFonts w:hint="default"/>
          <w:lang w:val="en-US" w:eastAsia="zh-CN"/>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1</w:t>
      </w:r>
      <w:r>
        <w:rPr>
          <w:rFonts w:hint="eastAsia" w:ascii="仿宋_GB2312" w:hAnsi="仿宋_GB2312" w:eastAsia="仿宋_GB2312" w:cs="仿宋_GB2312"/>
          <w:b/>
          <w:bCs/>
          <w:sz w:val="28"/>
          <w:szCs w:val="28"/>
          <w:lang w:eastAsia="zh-CN"/>
        </w:rPr>
        <w:t>）</w:t>
      </w:r>
      <w:r>
        <w:rPr>
          <w:rFonts w:hint="default" w:ascii="仿宋_GB2312" w:hAnsi="仿宋_GB2312" w:eastAsia="仿宋_GB2312" w:cs="仿宋_GB2312"/>
          <w:b/>
          <w:bCs/>
          <w:sz w:val="28"/>
          <w:szCs w:val="28"/>
          <w:lang w:val="en-US" w:eastAsia="zh-CN"/>
        </w:rPr>
        <w:t>综合柜员岗</w:t>
      </w:r>
      <w:r>
        <w:rPr>
          <w:rFonts w:hint="default" w:ascii="仿宋_GB2312" w:hAnsi="仿宋_GB2312" w:eastAsia="仿宋_GB2312" w:cs="仿宋_GB2312"/>
          <w:b/>
          <w:bCs/>
          <w:color w:val="auto"/>
          <w:sz w:val="28"/>
          <w:szCs w:val="28"/>
        </w:rPr>
        <w:t>-零售柜台业务</w:t>
      </w:r>
    </w:p>
    <w:tbl>
      <w:tblPr>
        <w:tblStyle w:val="16"/>
        <w:tblW w:w="5350" w:type="pct"/>
        <w:tblInd w:w="-3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861"/>
        <w:gridCol w:w="1164"/>
        <w:gridCol w:w="1383"/>
        <w:gridCol w:w="1476"/>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1658" w:type="pct"/>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2</w:t>
            </w:r>
            <w:r>
              <w:rPr>
                <w:rFonts w:hint="eastAsia" w:eastAsia="仿宋" w:cs="Times New Roman"/>
                <w:color w:val="000000"/>
                <w:sz w:val="24"/>
                <w:szCs w:val="24"/>
              </w:rPr>
              <w:t>（子模块1）</w:t>
            </w:r>
          </w:p>
        </w:tc>
        <w:tc>
          <w:tcPr>
            <w:tcW w:w="758"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1839" w:type="pct"/>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1658" w:type="pct"/>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综合柜员岗-零售柜台业务</w:t>
            </w:r>
          </w:p>
        </w:tc>
        <w:tc>
          <w:tcPr>
            <w:tcW w:w="758"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1839" w:type="pct"/>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eastAsia="仿宋" w:cs="Times New Roman"/>
                <w:color w:val="000000"/>
                <w:sz w:val="24"/>
                <w:szCs w:val="24"/>
                <w:lang w:eastAsia="zh-CN"/>
              </w:rPr>
            </w:pPr>
            <w:r>
              <w:rPr>
                <w:rFonts w:hint="eastAsia" w:eastAsia="仿宋" w:cs="Times New Roman"/>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4256" w:type="pct"/>
            <w:gridSpan w:val="5"/>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4256" w:type="pct"/>
            <w:gridSpan w:val="5"/>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以银行零售柜台为背景，根据提供的日初操作要求、个人客户基本信息、办理需求等描述考核选手操作银行柜员岗业务处理流程及规范的掌握情况，包括商业银行柜员日初开工业务、个人储蓄业务、贷记卡业务、个人网银业务、个人贷款业务、资信证明业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4256" w:type="pct"/>
            <w:gridSpan w:val="5"/>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02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637"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758"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809"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030"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20"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637"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根据任务说明和重要提示完成每日营业前柜员开工综合业务</w:t>
            </w:r>
          </w:p>
        </w:tc>
        <w:tc>
          <w:tcPr>
            <w:tcW w:w="758"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1.凭证出库</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2.现金出库</w:t>
            </w:r>
          </w:p>
        </w:tc>
        <w:tc>
          <w:tcPr>
            <w:tcW w:w="809"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1.柜员日初处理流程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2.空白凭证出库和查询</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3.现金出库</w:t>
            </w:r>
          </w:p>
        </w:tc>
        <w:tc>
          <w:tcPr>
            <w:tcW w:w="1030"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20"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637"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根据任务说明和重要提示完成个人客户储蓄业务</w:t>
            </w:r>
          </w:p>
        </w:tc>
        <w:tc>
          <w:tcPr>
            <w:tcW w:w="758"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1.开立个人客户号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2.开立个人账户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3.借记卡活期存款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4.手工收取费用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5.借记卡整存整取、通知存款开户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6.存单整存整取开户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7.借记卡通知存款部分支取</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8.借记卡通知存款销户</w:t>
            </w:r>
          </w:p>
        </w:tc>
        <w:tc>
          <w:tcPr>
            <w:tcW w:w="809"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1.借记卡账户开立、存入、支取与销户内容流程操作</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2.个人业务账户管理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3.个人存款业务的主要类型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4.收费业务操作</w:t>
            </w:r>
          </w:p>
        </w:tc>
        <w:tc>
          <w:tcPr>
            <w:tcW w:w="1030"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20"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任务3</w:t>
            </w:r>
          </w:p>
        </w:tc>
        <w:tc>
          <w:tcPr>
            <w:tcW w:w="637"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根据任务说明和重要提示完成贷记卡业务</w:t>
            </w:r>
          </w:p>
        </w:tc>
        <w:tc>
          <w:tcPr>
            <w:tcW w:w="758"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1.开立客户号、个人账户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2.借记卡货期存款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3.手工收取费用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4.贷记卡开户、激活</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5.内部账转贷记卡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6.卡折转贷记卡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7.贷记卡反交易</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8.贷记卡修改密码</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9.建立自扣还款代理关系</w:t>
            </w:r>
          </w:p>
        </w:tc>
        <w:tc>
          <w:tcPr>
            <w:tcW w:w="809"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1.借记卡账户开立、存入、支取与销户办理流程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2.收费业务操作</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3.贷记卡业务办理流程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4.贷记卡反交易业务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5.建立自扣还款代理关系</w:t>
            </w:r>
          </w:p>
        </w:tc>
        <w:tc>
          <w:tcPr>
            <w:tcW w:w="1030"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20"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任务4</w:t>
            </w:r>
          </w:p>
        </w:tc>
        <w:tc>
          <w:tcPr>
            <w:tcW w:w="637"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根据任务说明和重要提示完成个人网银业务</w:t>
            </w:r>
          </w:p>
        </w:tc>
        <w:tc>
          <w:tcPr>
            <w:tcW w:w="758"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1.个人网银签约</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2.个人网银撤销</w:t>
            </w:r>
          </w:p>
        </w:tc>
        <w:tc>
          <w:tcPr>
            <w:tcW w:w="809"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1.个人网银业务办理流程</w:t>
            </w:r>
          </w:p>
        </w:tc>
        <w:tc>
          <w:tcPr>
            <w:tcW w:w="1030"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20"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任务5</w:t>
            </w:r>
          </w:p>
        </w:tc>
        <w:tc>
          <w:tcPr>
            <w:tcW w:w="637"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根据任务说明和重要提示完成个人贷款业务</w:t>
            </w:r>
          </w:p>
        </w:tc>
        <w:tc>
          <w:tcPr>
            <w:tcW w:w="758"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1.个人贷款合同管理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2.个人贷款发放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3.提前部分还贷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4.个人贷款调息</w:t>
            </w:r>
          </w:p>
        </w:tc>
        <w:tc>
          <w:tcPr>
            <w:tcW w:w="809"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1.个人贷款业务申请、签约、放款、还贷、调息等办理流程</w:t>
            </w:r>
          </w:p>
        </w:tc>
        <w:tc>
          <w:tcPr>
            <w:tcW w:w="1030"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020" w:type="pct"/>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637" w:type="pct"/>
            <w:tcBorders>
              <w:top w:val="single" w:color="auto" w:sz="4" w:space="0"/>
              <w:left w:val="single" w:color="auto" w:sz="4" w:space="0"/>
              <w:bottom w:val="single" w:color="auto" w:sz="4" w:space="0"/>
              <w:right w:val="single" w:color="auto" w:sz="4" w:space="0"/>
            </w:tcBorders>
            <w:vAlign w:val="center"/>
          </w:tcPr>
          <w:p>
            <w:pPr>
              <w:jc w:val="center"/>
              <w:rPr>
                <w:rFonts w:eastAsia="仿宋" w:cs="Times New Roman"/>
                <w:color w:val="000000"/>
                <w:sz w:val="24"/>
                <w:szCs w:val="24"/>
              </w:rPr>
            </w:pPr>
            <w:r>
              <w:rPr>
                <w:rFonts w:hint="eastAsia" w:ascii="仿宋" w:hAnsi="仿宋" w:eastAsia="仿宋" w:cs="仿宋"/>
                <w:sz w:val="24"/>
                <w:szCs w:val="24"/>
                <w:highlight w:val="none"/>
              </w:rPr>
              <w:t>更多样题详见题库素材包</w:t>
            </w:r>
          </w:p>
        </w:tc>
        <w:tc>
          <w:tcPr>
            <w:tcW w:w="758"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809"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030" w:type="pct"/>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43" w:type="pct"/>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1658" w:type="pct"/>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2598" w:type="pct"/>
            <w:gridSpan w:val="3"/>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1.钞票清点、假币鉴别、数字键盘传票录入、形码输入法信息录入等金融服务基本操作能力；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2.用经济金融基础理论来解释生活中的经济现象并运用于实践的能力；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3.规范进行金融机构柜面业务、贷款业务等业务操作的能力；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4.依照经济金融基本法律法规进行金融业务风险的基本分析识别与防范的能力；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5.适应金融产业数字化发展需求的信息技术基础知识、专业信息技术能力等基本数字化技能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658" w:type="pct"/>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2598" w:type="pct"/>
            <w:gridSpan w:val="3"/>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GB/T32320-2015银行营业网点服务基本要求</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银行业专业人员职业资格制度暂行规定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4256" w:type="pct"/>
            <w:gridSpan w:val="5"/>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4256" w:type="pct"/>
            <w:gridSpan w:val="5"/>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jc w:val="both"/>
        <w:rPr>
          <w:rFonts w:hint="eastAsia" w:ascii="仿宋" w:hAnsi="仿宋" w:eastAsia="仿宋" w:cs="仿宋"/>
          <w:b/>
          <w:bCs w:val="0"/>
          <w:color w:val="000000"/>
          <w:sz w:val="24"/>
          <w:szCs w:val="24"/>
        </w:rPr>
      </w:pPr>
      <w:r>
        <w:rPr>
          <w:rFonts w:hint="eastAsia" w:ascii="仿宋_GB2312" w:hAnsi="仿宋_GB2312" w:eastAsia="仿宋_GB2312" w:cs="仿宋_GB2312"/>
          <w:b/>
          <w:bCs/>
          <w:sz w:val="28"/>
          <w:szCs w:val="28"/>
          <w:lang w:val="en-US" w:eastAsia="zh-CN"/>
        </w:rPr>
        <w:t>（2）</w:t>
      </w:r>
      <w:r>
        <w:rPr>
          <w:rFonts w:hint="default" w:ascii="仿宋_GB2312" w:hAnsi="仿宋_GB2312" w:eastAsia="仿宋_GB2312" w:cs="仿宋_GB2312"/>
          <w:b/>
          <w:bCs/>
          <w:sz w:val="28"/>
          <w:szCs w:val="28"/>
        </w:rPr>
        <w:t>综合柜员岗-对公柜台业务</w:t>
      </w:r>
    </w:p>
    <w:tbl>
      <w:tblPr>
        <w:tblStyle w:val="16"/>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169"/>
        <w:gridCol w:w="1334"/>
        <w:gridCol w:w="388"/>
        <w:gridCol w:w="2212"/>
        <w:gridCol w:w="1413"/>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5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2</w:t>
            </w:r>
            <w:r>
              <w:rPr>
                <w:rFonts w:hint="eastAsia" w:eastAsia="仿宋" w:cs="Times New Roman"/>
                <w:color w:val="000000"/>
                <w:sz w:val="24"/>
                <w:szCs w:val="24"/>
              </w:rPr>
              <w:t>（子模块</w:t>
            </w:r>
            <w:r>
              <w:rPr>
                <w:rFonts w:eastAsia="仿宋" w:cs="Times New Roman"/>
                <w:color w:val="000000"/>
                <w:sz w:val="24"/>
                <w:szCs w:val="24"/>
              </w:rPr>
              <w:t>2</w:t>
            </w:r>
            <w:r>
              <w:rPr>
                <w:rFonts w:hint="eastAsia" w:eastAsia="仿宋" w:cs="Times New Roman"/>
                <w:color w:val="000000"/>
                <w:sz w:val="24"/>
                <w:szCs w:val="24"/>
              </w:rPr>
              <w:t>）</w:t>
            </w:r>
          </w:p>
        </w:tc>
        <w:tc>
          <w:tcPr>
            <w:tcW w:w="2600"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5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综合柜员岗-对公柜台业务</w:t>
            </w:r>
          </w:p>
        </w:tc>
        <w:tc>
          <w:tcPr>
            <w:tcW w:w="2600"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eastAsia="仿宋" w:cs="Times New Roman"/>
                <w:color w:val="000000"/>
                <w:sz w:val="24"/>
                <w:szCs w:val="24"/>
                <w:lang w:eastAsia="zh-CN"/>
              </w:rPr>
            </w:pPr>
            <w:r>
              <w:rPr>
                <w:rFonts w:hint="eastAsia" w:eastAsia="仿宋" w:cs="Times New Roman"/>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7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7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以银行对公柜台为背景，根据提供的日初、日终操作要求、公司客户基本信息、办理需求等描述考核选手操作银行对公柜台业务处理流程及规范的掌握情况，包括商业银行柜员日初开工业务、日终业务、公司账户业务、代理业务、网银业务、贷款业务、支付结算业务、票据业务处理、票据审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7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基本专业素养</w:t>
            </w:r>
            <w:r>
              <w:rPr>
                <w:rFonts w:hint="eastAsia" w:eastAsia="仿宋" w:cs="Times New Roman"/>
                <w:color w:val="000000"/>
                <w:sz w:val="24"/>
                <w:szCs w:val="24"/>
              </w:rPr>
              <w:sym w:font="Wingdings" w:char="F0FE"/>
            </w:r>
            <w:r>
              <w:rPr>
                <w:rFonts w:hint="eastAsia" w:eastAsia="仿宋" w:cs="Times New Roman"/>
                <w:color w:val="000000"/>
                <w:sz w:val="24"/>
                <w:szCs w:val="24"/>
              </w:rPr>
              <w:t>专业实践技能</w:t>
            </w:r>
            <w:r>
              <w:rPr>
                <w:rFonts w:hint="eastAsia" w:eastAsia="仿宋" w:cs="Times New Roman"/>
                <w:color w:val="000000"/>
                <w:sz w:val="24"/>
                <w:szCs w:val="24"/>
              </w:rPr>
              <w:sym w:font="Wingdings" w:char="F0FE"/>
            </w:r>
            <w:r>
              <w:rPr>
                <w:rFonts w:hint="eastAsia" w:eastAsia="仿宋" w:cs="Times New Roman"/>
                <w:color w:val="000000"/>
                <w:sz w:val="24"/>
                <w:szCs w:val="24"/>
              </w:rPr>
              <w:t>协调协作能力</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restart"/>
            <w:tcBorders>
              <w:top w:val="nil"/>
              <w:left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169"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221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41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16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根据任务说明和重要提示完成营业前柜员开工业务和公司账户业务</w:t>
            </w:r>
          </w:p>
        </w:tc>
        <w:tc>
          <w:tcPr>
            <w:tcW w:w="2212"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1.凭证出库</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2.现金出库</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3.对公业务-对公账户管理-开对公客户号</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4.开对公存款账号</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5.单位活期存款-现金存款</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6.凭证管理-支票出售</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7.表外业务-收费业务-手工收取费用</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8.单位活期存款-现金取款</w:t>
            </w:r>
          </w:p>
        </w:tc>
        <w:tc>
          <w:tcPr>
            <w:tcW w:w="141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1.柜员日初处理流程</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2.空白凭证出库和查询</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3.现金出库</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4.公司账户开户、存取款、转账业务办理流程</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5.购买支票办理流程</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6.收费业务操作</w:t>
            </w:r>
          </w:p>
        </w:tc>
        <w:tc>
          <w:tcPr>
            <w:tcW w:w="128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16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根据任务说明和重要提示完成公司账户业务</w:t>
            </w:r>
          </w:p>
        </w:tc>
        <w:tc>
          <w:tcPr>
            <w:tcW w:w="2212"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1.对公业务-对公账户管理-开对公客户号</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2.开对公存款账号</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3.单位活期存款-现金存款</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4.单位协定存款</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5.凭证管理-支票出售</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6.表外业务-收费业务-手工收取费用</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7.单位活期存款-账户转账</w:t>
            </w:r>
          </w:p>
        </w:tc>
        <w:tc>
          <w:tcPr>
            <w:tcW w:w="141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1.公司账户开户、存款业务办理流程</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2.购买支票办理流程</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3.收费业务操作</w:t>
            </w:r>
          </w:p>
        </w:tc>
        <w:tc>
          <w:tcPr>
            <w:tcW w:w="128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16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任务3</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根据任务说明和重要提示完成代理业务</w:t>
            </w:r>
          </w:p>
        </w:tc>
        <w:tc>
          <w:tcPr>
            <w:tcW w:w="2212"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1.对公业务-对公账户管理-开对公客户号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2.开对公存款账号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3.单位活期存款-现金存款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4.代理业务-代理合同管理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5.代理批量管理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6.批量明细管理</w:t>
            </w:r>
          </w:p>
        </w:tc>
        <w:tc>
          <w:tcPr>
            <w:tcW w:w="141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1.公司账户开户、存款业务办理流程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2.代理业务办理流程</w:t>
            </w:r>
          </w:p>
        </w:tc>
        <w:tc>
          <w:tcPr>
            <w:tcW w:w="128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16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任务4</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根据任务说明和重要提示完成公司贷款业务</w:t>
            </w:r>
          </w:p>
        </w:tc>
        <w:tc>
          <w:tcPr>
            <w:tcW w:w="2212"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1.对公业务-对公账户管理-开对公客户号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2.开对公存款账号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3.单位活期存款-现金存款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4.贷款业务-公司贷款-贷款借据管理</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5.贷款发放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6.结转不良贷款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7.拆笔自动收息</w:t>
            </w:r>
          </w:p>
        </w:tc>
        <w:tc>
          <w:tcPr>
            <w:tcW w:w="141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1.公司账户开户、存款业务办理流程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2.公司贷款业务办理流程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3.结转不良贷款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4.拆笔自动收息</w:t>
            </w:r>
          </w:p>
        </w:tc>
        <w:tc>
          <w:tcPr>
            <w:tcW w:w="128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16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任务5</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根据任务说明和重要提示完成纸质商业汇票业务</w:t>
            </w:r>
          </w:p>
        </w:tc>
        <w:tc>
          <w:tcPr>
            <w:tcW w:w="2212"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1.支付结算-纸质商业汇票-纸票承兑登记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2.质押登记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3.委托收款登记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4.结算登记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5.质押解除登记</w:t>
            </w:r>
          </w:p>
        </w:tc>
        <w:tc>
          <w:tcPr>
            <w:tcW w:w="141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1.纸质商业汇票支付结算业务办理流程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2.纸质商业汇票承兑、质押、委托收款、结算、质押解除登记操作</w:t>
            </w:r>
          </w:p>
        </w:tc>
        <w:tc>
          <w:tcPr>
            <w:tcW w:w="128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169"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172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s="Times New Roman"/>
                <w:color w:val="000000"/>
                <w:sz w:val="24"/>
                <w:szCs w:val="24"/>
              </w:rPr>
            </w:pPr>
            <w:r>
              <w:rPr>
                <w:rFonts w:hint="eastAsia" w:ascii="仿宋_GB2312" w:eastAsia="仿宋_GB2312"/>
                <w:sz w:val="24"/>
                <w:szCs w:val="24"/>
                <w:highlight w:val="none"/>
              </w:rPr>
              <w:t>更多样题详见题库素材包</w:t>
            </w:r>
          </w:p>
        </w:tc>
        <w:tc>
          <w:tcPr>
            <w:tcW w:w="221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41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28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5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294"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1.钞票清点、假币鉴别、数字键盘传票录入、形码输入法信息录入等金融服务基本操作能力；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2.用经济金融基础理论来解释生活中的经济现象并运用于实践的能力；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3.规范进行金融机构柜面业务、贷款业务、票据业务等业务操作的能力；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4.依照经济金融基本法律法规进行金融业务风险的基本分析识别与防范的能力；</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eastAsia="仿宋" w:cs="仿宋"/>
                <w:color w:val="000000"/>
                <w:kern w:val="0"/>
                <w:sz w:val="24"/>
                <w:szCs w:val="24"/>
                <w:highlight w:val="none"/>
                <w:lang w:val="en-US" w:eastAsia="zh-CN" w:bidi="zh-CN"/>
              </w:rPr>
              <w:t>5.适应金融产业数字化发展需求的信息技术基础知识、专业信息技术能力等基本数字化技能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50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294"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GB/T32320-2015银行营业网点服务基本要求</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银行业专业人员职业资格制度暂行规定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7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7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jc w:val="center"/>
        <w:rPr>
          <w:b/>
          <w:color w:val="000000"/>
          <w:sz w:val="24"/>
          <w:szCs w:val="24"/>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color w:val="auto"/>
          <w:sz w:val="28"/>
          <w:szCs w:val="28"/>
        </w:rPr>
      </w:pPr>
      <w:r>
        <w:rPr>
          <w:rFonts w:hint="eastAsia" w:ascii="仿宋_GB2312" w:hAnsi="仿宋_GB2312" w:eastAsia="仿宋_GB2312" w:cs="仿宋_GB2312"/>
          <w:b/>
          <w:bCs/>
          <w:sz w:val="28"/>
          <w:szCs w:val="28"/>
          <w:lang w:val="en-US" w:eastAsia="zh-CN"/>
        </w:rPr>
        <w:t>（3）</w:t>
      </w:r>
      <w:r>
        <w:rPr>
          <w:rFonts w:hint="default" w:ascii="仿宋_GB2312" w:hAnsi="仿宋_GB2312" w:eastAsia="仿宋_GB2312" w:cs="仿宋_GB2312"/>
          <w:b/>
          <w:bCs/>
          <w:color w:val="auto"/>
          <w:sz w:val="28"/>
          <w:szCs w:val="28"/>
        </w:rPr>
        <w:t>综合柜员岗-国际结算业务</w:t>
      </w:r>
    </w:p>
    <w:tbl>
      <w:tblPr>
        <w:tblStyle w:val="16"/>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5"/>
        <w:gridCol w:w="1329"/>
        <w:gridCol w:w="1100"/>
        <w:gridCol w:w="497"/>
        <w:gridCol w:w="2169"/>
        <w:gridCol w:w="142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434" w:type="dxa"/>
            <w:gridSpan w:val="3"/>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2</w:t>
            </w:r>
            <w:r>
              <w:rPr>
                <w:rFonts w:hint="eastAsia" w:eastAsia="仿宋" w:cs="Times New Roman"/>
                <w:color w:val="000000"/>
                <w:sz w:val="24"/>
                <w:szCs w:val="24"/>
              </w:rPr>
              <w:t>（子模块</w:t>
            </w:r>
            <w:r>
              <w:rPr>
                <w:rFonts w:eastAsia="仿宋" w:cs="Times New Roman"/>
                <w:color w:val="000000"/>
                <w:sz w:val="24"/>
                <w:szCs w:val="24"/>
              </w:rPr>
              <w:t>3</w:t>
            </w:r>
            <w:r>
              <w:rPr>
                <w:rFonts w:hint="eastAsia" w:eastAsia="仿宋" w:cs="Times New Roman"/>
                <w:color w:val="000000"/>
                <w:sz w:val="24"/>
                <w:szCs w:val="24"/>
              </w:rPr>
              <w:t>）</w:t>
            </w:r>
          </w:p>
        </w:tc>
        <w:tc>
          <w:tcPr>
            <w:tcW w:w="2666"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286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434" w:type="dxa"/>
            <w:gridSpan w:val="3"/>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综合柜员岗-国际结算业务</w:t>
            </w:r>
          </w:p>
        </w:tc>
        <w:tc>
          <w:tcPr>
            <w:tcW w:w="2666"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286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968" w:type="dxa"/>
            <w:gridSpan w:val="7"/>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968" w:type="dxa"/>
            <w:gridSpan w:val="7"/>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该模块根据提供的信用证信息和流程描述完成即期信用证业务操作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968" w:type="dxa"/>
            <w:gridSpan w:val="7"/>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gridSpan w:val="2"/>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329" w:type="dxa"/>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1597"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2169"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420"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448"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1" w:type="dxa"/>
            <w:vMerge w:val="restart"/>
            <w:tcBorders>
              <w:top w:val="nil"/>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334"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159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根据任务说明和重要提示完成即期信用证业务操作</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1.开证行-进口信用证-开立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2.通知行-出口信用证-来证通知/登记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3.议付行-出口信用在-出口寄单登记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4.开证行-进口信用证-进口来单登记</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5.开证行-进口信用证-付款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6.议付行-出口信用在-收汇解付</w:t>
            </w:r>
          </w:p>
        </w:tc>
        <w:tc>
          <w:tcPr>
            <w:tcW w:w="1420"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1.即期信用证业务操作流程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2.国际结算的工具与方式</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3.常用国际贸易相关英文掌握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4.电文识别</w:t>
            </w:r>
          </w:p>
        </w:tc>
        <w:tc>
          <w:tcPr>
            <w:tcW w:w="144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21" w:type="dxa"/>
            <w:vMerge w:val="continue"/>
            <w:tcBorders>
              <w:left w:val="single" w:color="auto" w:sz="4" w:space="0"/>
              <w:right w:val="single" w:color="auto" w:sz="4" w:space="0"/>
            </w:tcBorders>
            <w:vAlign w:val="center"/>
          </w:tcPr>
          <w:p>
            <w:pPr>
              <w:widowControl/>
              <w:autoSpaceDE/>
              <w:autoSpaceDN/>
              <w:rPr>
                <w:rFonts w:cs="Times New Roman"/>
                <w:b/>
                <w:color w:val="000000"/>
                <w:sz w:val="24"/>
                <w:szCs w:val="24"/>
              </w:rPr>
            </w:pPr>
          </w:p>
        </w:tc>
        <w:tc>
          <w:tcPr>
            <w:tcW w:w="1334"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159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Times New Roman"/>
                <w:color w:val="000000"/>
                <w:sz w:val="24"/>
                <w:szCs w:val="24"/>
              </w:rPr>
            </w:pPr>
            <w:r>
              <w:rPr>
                <w:rFonts w:hint="eastAsia" w:ascii="仿宋" w:hAnsi="仿宋" w:eastAsia="仿宋" w:cs="仿宋"/>
                <w:sz w:val="24"/>
                <w:szCs w:val="24"/>
                <w:highlight w:val="none"/>
              </w:rPr>
              <w:t>更多样题详见题库素材包</w:t>
            </w:r>
          </w:p>
        </w:tc>
        <w:tc>
          <w:tcPr>
            <w:tcW w:w="216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420"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448"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434" w:type="dxa"/>
            <w:gridSpan w:val="3"/>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534"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1.钞票清点、假币鉴别、数字键盘传票录入、形码输入法信息录入等金融服务基本操作能力；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2.运用业务现场的智能化设备、工具和银行柜面、国际结算等业务操作平台办理业务的能力；</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eastAsia="仿宋" w:cs="仿宋"/>
                <w:color w:val="000000"/>
                <w:kern w:val="0"/>
                <w:sz w:val="24"/>
                <w:szCs w:val="24"/>
                <w:highlight w:val="none"/>
                <w:lang w:val="en-US" w:eastAsia="zh-CN" w:bidi="zh-CN"/>
              </w:rPr>
              <w:t>3.国际金融业务中基本的英语读、写、译及应用金融服务英语进行基本沟通交流的能力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434" w:type="dxa"/>
            <w:gridSpan w:val="3"/>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534"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GB/T 32320-2015 银行营业网点服务基本要求</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UCP600 跟单信用证统一惯例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4.</w:t>
            </w:r>
            <w:r>
              <w:rPr>
                <w:rFonts w:hint="eastAsia" w:eastAsia="仿宋" w:cs="仿宋"/>
                <w:color w:val="000000"/>
                <w:kern w:val="0"/>
                <w:sz w:val="24"/>
                <w:szCs w:val="24"/>
                <w:highlight w:val="none"/>
                <w:lang w:val="en-US" w:eastAsia="zh-CN" w:bidi="zh-CN"/>
              </w:rPr>
              <w:t>ISBP745 关于审核信用证项下单据的国际标准银行实务</w:t>
            </w:r>
          </w:p>
          <w:p>
            <w:pPr>
              <w:pStyle w:val="15"/>
              <w:numPr>
                <w:ilvl w:val="0"/>
                <w:numId w:val="0"/>
              </w:numPr>
              <w:spacing w:after="0" w:afterLines="0" w:afterAutospacing="0" w:line="240" w:lineRule="auto"/>
              <w:ind w:leftChars="0"/>
              <w:rPr>
                <w:rFonts w:eastAsia="仿宋" w:cs="Times New Roman"/>
                <w:color w:val="000000"/>
                <w:sz w:val="24"/>
                <w:szCs w:val="24"/>
              </w:rPr>
            </w:pPr>
            <w:r>
              <w:rPr>
                <w:rFonts w:hint="eastAsia" w:cs="仿宋"/>
                <w:color w:val="000000"/>
                <w:kern w:val="0"/>
                <w:sz w:val="24"/>
                <w:szCs w:val="24"/>
                <w:highlight w:val="none"/>
                <w:lang w:val="en-US" w:eastAsia="zh-CN" w:bidi="zh-CN"/>
              </w:rPr>
              <w:t>5.</w:t>
            </w:r>
            <w:r>
              <w:rPr>
                <w:rFonts w:hint="eastAsia" w:eastAsia="仿宋" w:cs="仿宋"/>
                <w:color w:val="000000"/>
                <w:kern w:val="0"/>
                <w:sz w:val="24"/>
                <w:szCs w:val="24"/>
                <w:highlight w:val="none"/>
                <w:lang w:val="en-US" w:eastAsia="zh-CN" w:bidi="zh-CN"/>
              </w:rPr>
              <w:t>URR725 跟单信用证项下银行间偿付统一规则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968" w:type="dxa"/>
            <w:gridSpan w:val="7"/>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968" w:type="dxa"/>
            <w:gridSpan w:val="7"/>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jc w:val="center"/>
        <w:rPr>
          <w:b/>
          <w:color w:val="000000"/>
          <w:sz w:val="24"/>
          <w:szCs w:val="24"/>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color w:val="auto"/>
          <w:sz w:val="28"/>
          <w:szCs w:val="28"/>
        </w:rPr>
      </w:pPr>
      <w:r>
        <w:rPr>
          <w:rFonts w:hint="eastAsia" w:ascii="仿宋_GB2312" w:hAnsi="仿宋_GB2312" w:eastAsia="仿宋_GB2312" w:cs="仿宋_GB2312"/>
          <w:b/>
          <w:bCs/>
          <w:sz w:val="28"/>
          <w:szCs w:val="28"/>
          <w:lang w:val="en-US" w:eastAsia="zh-CN"/>
        </w:rPr>
        <w:t>（4）</w:t>
      </w:r>
      <w:r>
        <w:rPr>
          <w:rFonts w:hint="default" w:ascii="仿宋_GB2312" w:hAnsi="仿宋_GB2312" w:eastAsia="仿宋_GB2312" w:cs="仿宋_GB2312"/>
          <w:b/>
          <w:bCs/>
          <w:color w:val="auto"/>
          <w:sz w:val="28"/>
          <w:szCs w:val="28"/>
        </w:rPr>
        <w:t>综合柜员岗-供应链金融业务</w:t>
      </w:r>
    </w:p>
    <w:tbl>
      <w:tblPr>
        <w:tblStyle w:val="16"/>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378"/>
        <w:gridCol w:w="778"/>
        <w:gridCol w:w="888"/>
        <w:gridCol w:w="2023"/>
        <w:gridCol w:w="1625"/>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2</w:t>
            </w:r>
            <w:r>
              <w:rPr>
                <w:rFonts w:hint="eastAsia" w:eastAsia="仿宋" w:cs="Times New Roman"/>
                <w:color w:val="000000"/>
                <w:sz w:val="24"/>
                <w:szCs w:val="24"/>
              </w:rPr>
              <w:t>（子模块</w:t>
            </w:r>
            <w:r>
              <w:rPr>
                <w:rFonts w:eastAsia="仿宋" w:cs="Times New Roman"/>
                <w:color w:val="000000"/>
                <w:sz w:val="24"/>
                <w:szCs w:val="24"/>
              </w:rPr>
              <w:t>4</w:t>
            </w:r>
            <w:r>
              <w:rPr>
                <w:rFonts w:hint="eastAsia" w:eastAsia="仿宋" w:cs="Times New Roman"/>
                <w:color w:val="000000"/>
                <w:sz w:val="24"/>
                <w:szCs w:val="24"/>
              </w:rPr>
              <w:t>）</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292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综合柜员岗-供应链金融业务</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292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eastAsia="仿宋" w:cs="Times New Roman"/>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996"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996"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该模块根据国内保理业务和应收账款质押业务的流程描述与数据信息完成国内保理业务和应收账款质押业务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996"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restart"/>
            <w:tcBorders>
              <w:top w:val="nil"/>
              <w:left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378"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1666"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2023"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62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30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continue"/>
            <w:tcBorders>
              <w:left w:val="single" w:color="auto" w:sz="4" w:space="0"/>
              <w:right w:val="single" w:color="auto" w:sz="4" w:space="0"/>
            </w:tcBorders>
            <w:vAlign w:val="center"/>
          </w:tcPr>
          <w:p>
            <w:pPr>
              <w:widowControl/>
              <w:autoSpaceDE/>
              <w:autoSpaceDN/>
              <w:jc w:val="center"/>
              <w:rPr>
                <w:rFonts w:cs="Times New Roman"/>
                <w:b/>
                <w:color w:val="000000"/>
                <w:sz w:val="24"/>
                <w:szCs w:val="24"/>
              </w:rPr>
            </w:pPr>
          </w:p>
        </w:tc>
        <w:tc>
          <w:tcPr>
            <w:tcW w:w="137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1666"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根据任务说明和重要提示完成国内保理业务</w:t>
            </w:r>
          </w:p>
        </w:tc>
        <w:tc>
          <w:tcPr>
            <w:tcW w:w="202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1.销售合同签订</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2.保理申请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3.保理初审与复审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4.保理合同签订</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5.第三方担保合同签约</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6.应收账款债权转让</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7.质押公示</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8.保理放款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9.提示付款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10.到期还款</w:t>
            </w:r>
          </w:p>
        </w:tc>
        <w:tc>
          <w:tcPr>
            <w:tcW w:w="162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1.国内保理业务操作流程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2.国内保理的种类</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3.国内保理业务的概念与风险</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4.国内保理业务相关合同的填写</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5.保理业务相关费用计算</w:t>
            </w:r>
          </w:p>
        </w:tc>
        <w:tc>
          <w:tcPr>
            <w:tcW w:w="1304"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jc w:val="center"/>
        </w:trPr>
        <w:tc>
          <w:tcPr>
            <w:tcW w:w="1251" w:type="dxa"/>
            <w:vMerge w:val="continue"/>
            <w:tcBorders>
              <w:left w:val="single" w:color="auto" w:sz="4" w:space="0"/>
              <w:bottom w:val="single" w:color="auto" w:sz="4" w:space="0"/>
              <w:right w:val="single" w:color="auto" w:sz="4" w:space="0"/>
            </w:tcBorders>
            <w:vAlign w:val="center"/>
          </w:tcPr>
          <w:p>
            <w:pPr>
              <w:widowControl/>
              <w:autoSpaceDE/>
              <w:autoSpaceDN/>
              <w:jc w:val="center"/>
              <w:rPr>
                <w:rFonts w:cs="Times New Roman"/>
                <w:b/>
                <w:color w:val="000000"/>
                <w:sz w:val="24"/>
                <w:szCs w:val="24"/>
              </w:rPr>
            </w:pPr>
          </w:p>
        </w:tc>
        <w:tc>
          <w:tcPr>
            <w:tcW w:w="137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1666"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根据任务说明和重要提示完成应收账款质押业务</w:t>
            </w:r>
          </w:p>
        </w:tc>
        <w:tc>
          <w:tcPr>
            <w:tcW w:w="2023"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1.销售合同签订</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2.融资申请</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3.融资初审与复审</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4.三方协议签约</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5.融资合同签订</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5.通知确认</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6.质押公示</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7.融资放款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8.提示付款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9.到期还款</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10.余款划拨</w:t>
            </w:r>
          </w:p>
        </w:tc>
        <w:tc>
          <w:tcPr>
            <w:tcW w:w="162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1.应收账款质押业务操作流程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2.应收账款质押业务的概念与风险</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3.应收账款质押业务相关合同的填写</w:t>
            </w:r>
          </w:p>
        </w:tc>
        <w:tc>
          <w:tcPr>
            <w:tcW w:w="1304"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51" w:type="dxa"/>
            <w:vMerge w:val="continue"/>
            <w:tcBorders>
              <w:left w:val="single" w:color="auto" w:sz="4" w:space="0"/>
              <w:bottom w:val="single" w:color="auto" w:sz="4" w:space="0"/>
              <w:right w:val="single" w:color="auto" w:sz="4" w:space="0"/>
            </w:tcBorders>
            <w:vAlign w:val="center"/>
          </w:tcPr>
          <w:p>
            <w:pPr>
              <w:widowControl/>
              <w:autoSpaceDE/>
              <w:autoSpaceDN/>
              <w:jc w:val="center"/>
              <w:rPr>
                <w:rFonts w:cs="Times New Roman"/>
                <w:b/>
                <w:color w:val="000000"/>
                <w:sz w:val="24"/>
                <w:szCs w:val="24"/>
              </w:rPr>
            </w:pPr>
          </w:p>
        </w:tc>
        <w:tc>
          <w:tcPr>
            <w:tcW w:w="137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16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Times New Roman"/>
                <w:color w:val="000000"/>
                <w:sz w:val="24"/>
                <w:szCs w:val="24"/>
              </w:rPr>
            </w:pPr>
            <w:r>
              <w:rPr>
                <w:rFonts w:hint="eastAsia" w:ascii="仿宋" w:hAnsi="仿宋" w:eastAsia="仿宋" w:cs="仿宋"/>
                <w:sz w:val="24"/>
                <w:szCs w:val="24"/>
                <w:highlight w:val="none"/>
              </w:rPr>
              <w:t>更多样题详见题库素材包</w:t>
            </w:r>
          </w:p>
        </w:tc>
        <w:tc>
          <w:tcPr>
            <w:tcW w:w="2023"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62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304"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840"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1.钞票清点、假币鉴别、数字键盘传票录入、形码输入法信息录入等金融服务基本操作能力；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2.运用业务现场的智能化设备、工具和银行柜面、保理、应收账款质押等业务操作平台办理业务的能力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156"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840"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 32320-2015 银行营业网点服务基本要求</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动产和权利担保统一登记办法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996"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996"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ind w:firstLine="964" w:firstLineChars="400"/>
        <w:jc w:val="both"/>
        <w:rPr>
          <w:b/>
          <w:color w:val="000000"/>
          <w:sz w:val="24"/>
          <w:szCs w:val="24"/>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color w:val="auto"/>
          <w:sz w:val="28"/>
          <w:szCs w:val="28"/>
        </w:rPr>
      </w:pPr>
      <w:r>
        <w:rPr>
          <w:rFonts w:hint="eastAsia" w:ascii="仿宋_GB2312" w:hAnsi="仿宋_GB2312" w:eastAsia="仿宋_GB2312" w:cs="仿宋_GB2312"/>
          <w:b/>
          <w:bCs/>
          <w:sz w:val="28"/>
          <w:szCs w:val="28"/>
          <w:lang w:val="en-US" w:eastAsia="zh-CN"/>
        </w:rPr>
        <w:t>3</w:t>
      </w:r>
      <w:r>
        <w:rPr>
          <w:rFonts w:hint="default" w:ascii="仿宋_GB2312" w:hAnsi="仿宋_GB2312" w:eastAsia="仿宋_GB2312" w:cs="仿宋_GB2312"/>
          <w:b/>
          <w:bCs/>
          <w:color w:val="auto"/>
          <w:sz w:val="28"/>
          <w:szCs w:val="28"/>
          <w:lang w:val="en-US" w:eastAsia="zh-CN"/>
        </w:rPr>
        <w:t>.</w:t>
      </w:r>
      <w:r>
        <w:rPr>
          <w:rFonts w:hint="default" w:ascii="仿宋_GB2312" w:hAnsi="仿宋_GB2312" w:eastAsia="仿宋_GB2312" w:cs="仿宋_GB2312"/>
          <w:b/>
          <w:bCs/>
          <w:color w:val="auto"/>
          <w:sz w:val="28"/>
          <w:szCs w:val="28"/>
        </w:rPr>
        <w:t>客户经理岗</w:t>
      </w:r>
    </w:p>
    <w:tbl>
      <w:tblPr>
        <w:tblStyle w:val="16"/>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118"/>
        <w:gridCol w:w="1045"/>
        <w:gridCol w:w="944"/>
        <w:gridCol w:w="1917"/>
        <w:gridCol w:w="161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16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3</w:t>
            </w:r>
          </w:p>
        </w:tc>
        <w:tc>
          <w:tcPr>
            <w:tcW w:w="286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292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16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客户经理岗</w:t>
            </w:r>
          </w:p>
        </w:tc>
        <w:tc>
          <w:tcPr>
            <w:tcW w:w="2861"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292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eastAsia="仿宋" w:cs="Times New Roman"/>
                <w:color w:val="000000"/>
                <w:sz w:val="24"/>
                <w:szCs w:val="24"/>
                <w:lang w:eastAsia="zh-CN"/>
              </w:rPr>
            </w:pPr>
            <w:r>
              <w:rPr>
                <w:rFonts w:hint="eastAsia" w:eastAsia="仿宋" w:cs="Times New Roman"/>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952"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952"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该模块根据提供的个人客户、公司客户的贷款档案、担保品信息和信贷需求描述等完成个人信贷业务和公司信贷业务操作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952"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118"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1917"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61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317"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1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根据任务说明和重要提示完成个人客户贷款档案管理</w:t>
            </w:r>
          </w:p>
        </w:tc>
        <w:tc>
          <w:tcPr>
            <w:tcW w:w="19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1.客户档案管理-个人客户-锁定客户</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2.个人基本信息列表</w:t>
            </w:r>
          </w:p>
        </w:tc>
        <w:tc>
          <w:tcPr>
            <w:tcW w:w="16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1.个人客户关系建设</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2.个人客户信息管理</w:t>
            </w:r>
          </w:p>
        </w:tc>
        <w:tc>
          <w:tcPr>
            <w:tcW w:w="13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1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根据任务说明和重要提示完成个人客户担保品信息</w:t>
            </w:r>
          </w:p>
        </w:tc>
        <w:tc>
          <w:tcPr>
            <w:tcW w:w="19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1.担保品信息管理-抵押品信息录入-抵质押品信息录入列表</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2.车辆工具情况列表</w:t>
            </w:r>
          </w:p>
        </w:tc>
        <w:tc>
          <w:tcPr>
            <w:tcW w:w="16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1.个人贷款抵质押品信息分析与管理</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2.个人贷款抵押品信息录入内容</w:t>
            </w:r>
          </w:p>
        </w:tc>
        <w:tc>
          <w:tcPr>
            <w:tcW w:w="13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1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任务3</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根据任务说明和重要提示完成个人客户资信评估</w:t>
            </w:r>
          </w:p>
        </w:tc>
        <w:tc>
          <w:tcPr>
            <w:tcW w:w="19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1.资信评估-个人信用等级评分表列表</w:t>
            </w:r>
          </w:p>
        </w:tc>
        <w:tc>
          <w:tcPr>
            <w:tcW w:w="16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1.个人贷款风险管理</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2.信用评分模型</w:t>
            </w:r>
          </w:p>
        </w:tc>
        <w:tc>
          <w:tcPr>
            <w:tcW w:w="13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1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w:t>
            </w:r>
            <w:r>
              <w:rPr>
                <w:rFonts w:eastAsia="仿宋" w:cs="Times New Roman"/>
                <w:color w:val="000000"/>
                <w:sz w:val="24"/>
                <w:szCs w:val="24"/>
              </w:rPr>
              <w:t>4</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根据任务说明和重要提示完成个人客户贷款业务申请</w:t>
            </w:r>
          </w:p>
        </w:tc>
        <w:tc>
          <w:tcPr>
            <w:tcW w:w="19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1.信贷业务处理-业务申请-个人汽车消费贷款申请列表</w:t>
            </w:r>
          </w:p>
        </w:tc>
        <w:tc>
          <w:tcPr>
            <w:tcW w:w="16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1.个人汽车贷款的要素</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2.个人汽车贷款申请资料</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3.个人汽车贷款的流程</w:t>
            </w:r>
          </w:p>
        </w:tc>
        <w:tc>
          <w:tcPr>
            <w:tcW w:w="13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1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任务5</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根据任务说明和重要提示完成个人客户贷款业务调查</w:t>
            </w:r>
          </w:p>
        </w:tc>
        <w:tc>
          <w:tcPr>
            <w:tcW w:w="19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1.个人汽车消费贷款调查</w:t>
            </w:r>
          </w:p>
        </w:tc>
        <w:tc>
          <w:tcPr>
            <w:tcW w:w="16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1.个人汽车贷款评审流程</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2.个人汽车贷款风险管理</w:t>
            </w:r>
          </w:p>
        </w:tc>
        <w:tc>
          <w:tcPr>
            <w:tcW w:w="13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1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1989"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s="Times New Roman"/>
                <w:color w:val="000000"/>
                <w:sz w:val="24"/>
                <w:szCs w:val="24"/>
              </w:rPr>
            </w:pPr>
            <w:r>
              <w:rPr>
                <w:rFonts w:hint="eastAsia" w:ascii="仿宋_GB2312" w:eastAsia="仿宋_GB2312"/>
                <w:sz w:val="24"/>
                <w:szCs w:val="24"/>
                <w:highlight w:val="none"/>
              </w:rPr>
              <w:t>更多样题详见题库素材包</w:t>
            </w:r>
          </w:p>
        </w:tc>
        <w:tc>
          <w:tcPr>
            <w:tcW w:w="19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61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317"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16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789"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1.综合运用金融学、经济学、金融科技和信用管理等领域专业知识解决实际业务问题的能力；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2.企业信用风险管理、银行信贷资产信用审核与贷后管理、征信数据分析操作的能力；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3.行业分析、企业风险综合分析和消费者信用分析能力；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4.适应金融产业数字化发展需求的信息技术基础知识、专业信息技术能力等基本数字化技能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163"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789"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 32320-2015 银行营业网点服务基本要求</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职业编码2-07-03-06 信用管理师国家职业标准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952"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952"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ind w:firstLine="1124" w:firstLineChars="400"/>
        <w:jc w:val="both"/>
        <w:rPr>
          <w:rFonts w:hint="eastAsia" w:ascii="仿宋" w:hAnsi="仿宋" w:eastAsia="仿宋" w:cs="仿宋"/>
          <w:b/>
          <w:bCs w:val="0"/>
          <w:color w:val="000000"/>
          <w:sz w:val="24"/>
          <w:szCs w:val="24"/>
        </w:rPr>
      </w:pPr>
      <w:r>
        <w:rPr>
          <w:rFonts w:hint="eastAsia" w:ascii="仿宋_GB2312" w:hAnsi="仿宋_GB2312" w:eastAsia="仿宋_GB2312" w:cs="仿宋_GB2312"/>
          <w:b/>
          <w:bCs/>
          <w:sz w:val="28"/>
          <w:szCs w:val="28"/>
          <w:lang w:val="en-US" w:eastAsia="zh-CN"/>
        </w:rPr>
        <w:t>4</w:t>
      </w:r>
      <w:r>
        <w:rPr>
          <w:rFonts w:hint="default" w:ascii="仿宋_GB2312" w:hAnsi="仿宋_GB2312" w:eastAsia="仿宋_GB2312" w:cs="仿宋_GB2312"/>
          <w:b/>
          <w:bCs/>
          <w:color w:val="auto"/>
          <w:sz w:val="28"/>
          <w:szCs w:val="28"/>
          <w:lang w:val="en-US" w:eastAsia="zh-CN"/>
        </w:rPr>
        <w:t>.</w:t>
      </w:r>
      <w:r>
        <w:rPr>
          <w:rFonts w:hint="default" w:ascii="仿宋_GB2312" w:hAnsi="仿宋_GB2312" w:eastAsia="仿宋_GB2312" w:cs="仿宋_GB2312"/>
          <w:b/>
          <w:bCs/>
          <w:color w:val="auto"/>
          <w:sz w:val="28"/>
          <w:szCs w:val="28"/>
        </w:rPr>
        <w:t>理财经理岗</w:t>
      </w:r>
    </w:p>
    <w:tbl>
      <w:tblPr>
        <w:tblStyle w:val="16"/>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138"/>
        <w:gridCol w:w="1100"/>
        <w:gridCol w:w="677"/>
        <w:gridCol w:w="1831"/>
        <w:gridCol w:w="164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模块序号</w:t>
            </w:r>
          </w:p>
        </w:tc>
        <w:tc>
          <w:tcPr>
            <w:tcW w:w="223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模块</w:t>
            </w:r>
            <w:r>
              <w:rPr>
                <w:rFonts w:eastAsia="仿宋" w:cs="Times New Roman"/>
                <w:color w:val="000000"/>
                <w:sz w:val="24"/>
                <w:szCs w:val="24"/>
              </w:rPr>
              <w:t>4</w:t>
            </w:r>
          </w:p>
        </w:tc>
        <w:tc>
          <w:tcPr>
            <w:tcW w:w="2508"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对应赛项编号</w:t>
            </w:r>
          </w:p>
        </w:tc>
        <w:tc>
          <w:tcPr>
            <w:tcW w:w="3251"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G</w:t>
            </w:r>
            <w:r>
              <w:rPr>
                <w:rFonts w:eastAsia="仿宋" w:cs="Times New Roman"/>
                <w:color w:val="000000"/>
                <w:sz w:val="24"/>
                <w:szCs w:val="24"/>
              </w:rPr>
              <w:t>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模块名称</w:t>
            </w:r>
          </w:p>
        </w:tc>
        <w:tc>
          <w:tcPr>
            <w:tcW w:w="223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理财经理岗</w:t>
            </w:r>
          </w:p>
        </w:tc>
        <w:tc>
          <w:tcPr>
            <w:tcW w:w="2508"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子任务数量</w:t>
            </w:r>
          </w:p>
        </w:tc>
        <w:tc>
          <w:tcPr>
            <w:tcW w:w="3251"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eastAsia" w:eastAsia="仿宋" w:cs="Times New Roman"/>
                <w:color w:val="000000"/>
                <w:sz w:val="24"/>
                <w:szCs w:val="24"/>
                <w:lang w:eastAsia="zh-CN"/>
              </w:rPr>
            </w:pPr>
            <w:r>
              <w:rPr>
                <w:rFonts w:hint="eastAsia" w:eastAsia="仿宋" w:cs="Times New Roman"/>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竞赛时间</w:t>
            </w:r>
          </w:p>
        </w:tc>
        <w:tc>
          <w:tcPr>
            <w:tcW w:w="79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_GB2312" w:cs="仿宋"/>
                <w:color w:val="000000"/>
                <w:sz w:val="24"/>
                <w:szCs w:val="24"/>
              </w:rPr>
            </w:pPr>
            <w:r>
              <w:rPr>
                <w:rFonts w:hint="eastAsia" w:eastAsia="仿宋" w:cs="Times New Roman"/>
                <w:color w:val="000000"/>
                <w:sz w:val="24"/>
                <w:szCs w:val="24"/>
              </w:rPr>
              <w:t>总时间</w:t>
            </w:r>
            <w:r>
              <w:rPr>
                <w:rFonts w:hint="eastAsia" w:eastAsia="仿宋" w:cs="Times New Roman"/>
                <w:color w:val="000000"/>
                <w:sz w:val="24"/>
                <w:szCs w:val="24"/>
                <w:lang w:val="en-US" w:eastAsia="zh-CN"/>
              </w:rPr>
              <w:t>12</w:t>
            </w:r>
            <w:r>
              <w:rPr>
                <w:rFonts w:eastAsia="仿宋" w:cs="Times New Roman"/>
                <w:color w:val="000000"/>
                <w:sz w:val="24"/>
                <w:szCs w:val="24"/>
              </w:rPr>
              <w:t>0</w:t>
            </w:r>
            <w:r>
              <w:rPr>
                <w:rFonts w:hint="eastAsia" w:eastAsia="仿宋" w:cs="Times New Roman"/>
                <w:color w:val="000000"/>
                <w:sz w:val="24"/>
                <w:szCs w:val="24"/>
              </w:rPr>
              <w:t>分钟</w:t>
            </w:r>
            <w:r>
              <w:rPr>
                <w:rFonts w:hint="eastAsia" w:eastAsia="仿宋" w:cs="Times New Roman"/>
                <w:color w:val="000000"/>
                <w:sz w:val="24"/>
                <w:szCs w:val="24"/>
                <w:lang w:eastAsia="zh-CN"/>
              </w:rPr>
              <w:t>，</w:t>
            </w:r>
            <w:r>
              <w:rPr>
                <w:rFonts w:hint="eastAsia" w:eastAsia="仿宋" w:cs="Times New Roman"/>
                <w:color w:val="000000"/>
                <w:sz w:val="24"/>
                <w:szCs w:val="24"/>
                <w:lang w:val="en-US" w:eastAsia="zh-CN"/>
              </w:rPr>
              <w:t>其中实施120分钟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任务描述</w:t>
            </w:r>
          </w:p>
        </w:tc>
        <w:tc>
          <w:tcPr>
            <w:tcW w:w="79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该模块考核选手根据一个家庭的基本信息、财务数据、客户需求、理财目标等内容，操作分析客户信息管理、家庭财务分析、理财目标设定与分析、现金规划、购房规划、汽车消费规划、教育规划、风险管理与保险规划、投资规划、财产分配与传承规划，形成家庭理财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职业要素</w:t>
            </w:r>
          </w:p>
        </w:tc>
        <w:tc>
          <w:tcPr>
            <w:tcW w:w="79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Calibri"/>
                <w:color w:val="000000"/>
                <w:sz w:val="24"/>
                <w:szCs w:val="24"/>
              </w:rPr>
              <w:t>□</w:t>
            </w:r>
            <w:r>
              <w:rPr>
                <w:rFonts w:hint="eastAsia" w:eastAsia="仿宋" w:cs="Times New Roman"/>
                <w:color w:val="000000"/>
                <w:sz w:val="24"/>
                <w:szCs w:val="24"/>
              </w:rPr>
              <w:t xml:space="preserve">基本专业素养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专业实践技能  </w:t>
            </w:r>
            <w:r>
              <w:rPr>
                <w:rFonts w:hint="eastAsia" w:eastAsia="仿宋" w:cs="Times New Roman"/>
                <w:color w:val="000000"/>
                <w:sz w:val="24"/>
                <w:szCs w:val="24"/>
              </w:rPr>
              <w:sym w:font="Wingdings" w:char="F0FE"/>
            </w:r>
            <w:r>
              <w:rPr>
                <w:rFonts w:hint="eastAsia" w:eastAsia="仿宋" w:cs="Times New Roman"/>
                <w:color w:val="000000"/>
                <w:sz w:val="24"/>
                <w:szCs w:val="24"/>
              </w:rPr>
              <w:t xml:space="preserve">协调协作能力  </w:t>
            </w:r>
            <w:r>
              <w:rPr>
                <w:rFonts w:hint="eastAsia" w:eastAsia="仿宋" w:cs="Calibri"/>
                <w:color w:val="000000"/>
                <w:sz w:val="24"/>
                <w:szCs w:val="24"/>
              </w:rPr>
              <w:t>□</w:t>
            </w:r>
            <w:r>
              <w:rPr>
                <w:rFonts w:hint="eastAsia" w:eastAsia="仿宋" w:cs="Times New Roman"/>
                <w:color w:val="000000"/>
                <w:sz w:val="24"/>
                <w:szCs w:val="24"/>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具体任务要求</w:t>
            </w:r>
          </w:p>
        </w:tc>
        <w:tc>
          <w:tcPr>
            <w:tcW w:w="1138"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子任务序号</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任务要求</w:t>
            </w:r>
          </w:p>
        </w:tc>
        <w:tc>
          <w:tcPr>
            <w:tcW w:w="183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操作过程</w:t>
            </w:r>
          </w:p>
        </w:tc>
        <w:tc>
          <w:tcPr>
            <w:tcW w:w="1645"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考核点</w:t>
            </w:r>
          </w:p>
        </w:tc>
        <w:tc>
          <w:tcPr>
            <w:tcW w:w="160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任务1</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left"/>
              <w:rPr>
                <w:rFonts w:eastAsia="仿宋" w:cs="Times New Roman"/>
                <w:color w:val="000000"/>
                <w:sz w:val="24"/>
                <w:szCs w:val="24"/>
              </w:rPr>
            </w:pPr>
            <w:r>
              <w:rPr>
                <w:rFonts w:hint="eastAsia" w:eastAsia="仿宋" w:cs="Times New Roman"/>
                <w:color w:val="000000"/>
                <w:sz w:val="24"/>
                <w:szCs w:val="24"/>
              </w:rPr>
              <w:t>根据任务说明和重要提示完成客户信息建立</w:t>
            </w:r>
          </w:p>
        </w:tc>
        <w:tc>
          <w:tcPr>
            <w:tcW w:w="183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1.客户信息建立-客户资料</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2.家庭成员</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3.理财规划服务合同签订</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4.保密合同签订</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5.生命周期</w:t>
            </w:r>
          </w:p>
        </w:tc>
        <w:tc>
          <w:tcPr>
            <w:tcW w:w="164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1.建立客户信任关系</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2.客户信息管理</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3.客户分类与需求分析</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4.服务合同、保密合同签订</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5.客户家庭生命周期的判断</w:t>
            </w:r>
          </w:p>
        </w:tc>
        <w:tc>
          <w:tcPr>
            <w:tcW w:w="1606"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jc w:val="left"/>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任务2</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根据任务说明和重要提示完成家庭财务分析</w:t>
            </w:r>
          </w:p>
        </w:tc>
        <w:tc>
          <w:tcPr>
            <w:tcW w:w="183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1.家庭财务分析-家庭资产负债表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2.家庭现金流量表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3.财务指标分析</w:t>
            </w:r>
          </w:p>
        </w:tc>
        <w:tc>
          <w:tcPr>
            <w:tcW w:w="164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1.收集客户家庭财务信息</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2.分析客户家庭财务状况</w:t>
            </w:r>
          </w:p>
        </w:tc>
        <w:tc>
          <w:tcPr>
            <w:tcW w:w="1606"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任务3</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w:t>
            </w:r>
            <w:r>
              <w:rPr>
                <w:rFonts w:eastAsia="仿宋" w:cs="Times New Roman"/>
                <w:color w:val="000000"/>
                <w:sz w:val="24"/>
                <w:szCs w:val="24"/>
              </w:rPr>
              <w:t>理财目标确认</w:t>
            </w:r>
          </w:p>
        </w:tc>
        <w:tc>
          <w:tcPr>
            <w:tcW w:w="183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1.理财目标确认-理财目标设定与分析</w:t>
            </w:r>
          </w:p>
        </w:tc>
        <w:tc>
          <w:tcPr>
            <w:tcW w:w="164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1.明确客户理财目标</w:t>
            </w:r>
          </w:p>
        </w:tc>
        <w:tc>
          <w:tcPr>
            <w:tcW w:w="1606"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w:t>
            </w:r>
            <w:r>
              <w:rPr>
                <w:rFonts w:eastAsia="仿宋" w:cs="Times New Roman"/>
                <w:color w:val="000000"/>
                <w:sz w:val="24"/>
                <w:szCs w:val="24"/>
              </w:rPr>
              <w:t>4</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根据任务说明和重要提示完成现金规划</w:t>
            </w:r>
          </w:p>
        </w:tc>
        <w:tc>
          <w:tcPr>
            <w:tcW w:w="183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1.现金规划-现金需求分析</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2.现金规划工具</w:t>
            </w:r>
          </w:p>
        </w:tc>
        <w:tc>
          <w:tcPr>
            <w:tcW w:w="164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1.现金规划流程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2.现金需求分析</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3.家庭应急备用金</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4.流动性比率的计算</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5.现金规划工具</w:t>
            </w:r>
          </w:p>
        </w:tc>
        <w:tc>
          <w:tcPr>
            <w:tcW w:w="1606"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eastAsia="仿宋" w:cs="Times New Roman"/>
                <w:color w:val="000000"/>
                <w:sz w:val="24"/>
                <w:szCs w:val="24"/>
              </w:rPr>
            </w:pPr>
            <w:r>
              <w:rPr>
                <w:rFonts w:hint="eastAsia" w:eastAsia="仿宋" w:cs="Times New Roman"/>
                <w:color w:val="000000"/>
                <w:sz w:val="24"/>
                <w:szCs w:val="24"/>
              </w:rPr>
              <w:t>任务5</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根据任务说明和重要提示完成购房规划</w:t>
            </w:r>
          </w:p>
        </w:tc>
        <w:tc>
          <w:tcPr>
            <w:tcW w:w="1831"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1.购房规划-购房资金需求分析</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2.还款方式</w:t>
            </w:r>
          </w:p>
        </w:tc>
        <w:tc>
          <w:tcPr>
            <w:tcW w:w="164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1.购房规划流程</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2.购房资金需求分析</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3.Excel函数在购房规划中的应用</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4.购房还款方案</w:t>
            </w:r>
          </w:p>
        </w:tc>
        <w:tc>
          <w:tcPr>
            <w:tcW w:w="1606"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1.安全操作规范（0%）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2.专业操作工艺（0%)</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3.任务与功能验证(100%)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jc w:val="center"/>
              <w:rPr>
                <w:rFonts w:hint="default" w:eastAsia="仿宋" w:cs="Times New Roman"/>
                <w:color w:val="000000"/>
                <w:sz w:val="24"/>
                <w:szCs w:val="24"/>
                <w:lang w:val="en-US" w:eastAsia="zh-CN"/>
              </w:rPr>
            </w:pPr>
            <w:r>
              <w:rPr>
                <w:rFonts w:hint="eastAsia" w:eastAsia="仿宋" w:cs="Times New Roman"/>
                <w:color w:val="000000"/>
                <w:sz w:val="24"/>
                <w:szCs w:val="24"/>
                <w:lang w:val="en-US" w:eastAsia="zh-CN"/>
              </w:rPr>
              <w:t>其他任务</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s="Times New Roman"/>
                <w:color w:val="000000"/>
                <w:sz w:val="24"/>
                <w:szCs w:val="24"/>
              </w:rPr>
            </w:pPr>
            <w:r>
              <w:rPr>
                <w:rFonts w:hint="eastAsia" w:ascii="仿宋" w:hAnsi="仿宋" w:eastAsia="仿宋" w:cs="仿宋"/>
                <w:sz w:val="24"/>
                <w:szCs w:val="24"/>
                <w:highlight w:val="none"/>
              </w:rPr>
              <w:t>更多样题详见题库素材包</w:t>
            </w:r>
          </w:p>
        </w:tc>
        <w:tc>
          <w:tcPr>
            <w:tcW w:w="183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仿宋" w:cs="仿宋"/>
                <w:color w:val="000000"/>
                <w:kern w:val="0"/>
                <w:sz w:val="24"/>
                <w:szCs w:val="24"/>
                <w:highlight w:val="none"/>
                <w:lang w:val="en-US" w:eastAsia="zh-CN" w:bidi="zh-CN"/>
              </w:rPr>
            </w:pPr>
            <w:r>
              <w:rPr>
                <w:rFonts w:hint="eastAsia" w:ascii="仿宋_GB2312" w:eastAsia="仿宋_GB2312"/>
                <w:sz w:val="24"/>
                <w:szCs w:val="24"/>
              </w:rPr>
              <w:t>......</w:t>
            </w:r>
          </w:p>
        </w:tc>
        <w:tc>
          <w:tcPr>
            <w:tcW w:w="1645"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c>
          <w:tcPr>
            <w:tcW w:w="1606" w:type="dxa"/>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restart"/>
            <w:tcBorders>
              <w:top w:val="nil"/>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赛项技术规范</w:t>
            </w:r>
          </w:p>
        </w:tc>
        <w:tc>
          <w:tcPr>
            <w:tcW w:w="223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涉及专业教学要求</w:t>
            </w:r>
          </w:p>
        </w:tc>
        <w:tc>
          <w:tcPr>
            <w:tcW w:w="5759"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1.认知、分析银行产品、基金产品、保险产品、信托产品、股票、黄金、房产等投资产品的能力；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2.为客户提供金融产品的相关咨询，帮助其配置合适的金融产品，完成理财规划方案的能力；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3.进行客户关系维护和管理，提供持续跟踪服务的能力；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4.识别、分析和管理金融机构和客户风险的能力；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5.运用本专业相关法律法规、行业规定从事职业活动的能力；</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eastAsia="仿宋" w:cs="仿宋"/>
                <w:color w:val="000000"/>
                <w:kern w:val="0"/>
                <w:sz w:val="24"/>
                <w:szCs w:val="24"/>
                <w:highlight w:val="none"/>
                <w:lang w:val="en-US" w:eastAsia="zh-CN" w:bidi="zh-CN"/>
              </w:rPr>
              <w:t>6.良好的语言和文字表达能力、沟通合作能力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vMerge w:val="continue"/>
            <w:tcBorders>
              <w:top w:val="nil"/>
              <w:left w:val="single" w:color="auto" w:sz="4" w:space="0"/>
              <w:bottom w:val="single" w:color="auto" w:sz="4" w:space="0"/>
              <w:right w:val="single" w:color="auto" w:sz="4" w:space="0"/>
            </w:tcBorders>
            <w:vAlign w:val="center"/>
          </w:tcPr>
          <w:p>
            <w:pPr>
              <w:widowControl/>
              <w:autoSpaceDE/>
              <w:autoSpaceDN/>
              <w:rPr>
                <w:rFonts w:cs="Times New Roman"/>
                <w:b/>
                <w:color w:val="000000"/>
                <w:sz w:val="24"/>
                <w:szCs w:val="24"/>
              </w:rPr>
            </w:pPr>
          </w:p>
        </w:tc>
        <w:tc>
          <w:tcPr>
            <w:tcW w:w="2238" w:type="dxa"/>
            <w:gridSpan w:val="2"/>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r>
              <w:rPr>
                <w:rFonts w:hint="eastAsia" w:eastAsia="仿宋" w:cs="Times New Roman"/>
                <w:color w:val="000000"/>
                <w:sz w:val="24"/>
                <w:szCs w:val="24"/>
              </w:rPr>
              <w:t>遵循国家标准和行业标准</w:t>
            </w:r>
          </w:p>
        </w:tc>
        <w:tc>
          <w:tcPr>
            <w:tcW w:w="5759" w:type="dxa"/>
            <w:gridSpan w:val="4"/>
            <w:tcBorders>
              <w:top w:val="single" w:color="auto" w:sz="4" w:space="0"/>
              <w:left w:val="single" w:color="auto" w:sz="4" w:space="0"/>
              <w:bottom w:val="single" w:color="auto" w:sz="4" w:space="0"/>
              <w:right w:val="single" w:color="auto" w:sz="4" w:space="0"/>
            </w:tcBorders>
            <w:vAlign w:val="center"/>
          </w:tcPr>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1.</w:t>
            </w:r>
            <w:r>
              <w:rPr>
                <w:rFonts w:hint="eastAsia" w:eastAsia="仿宋" w:cs="仿宋"/>
                <w:color w:val="000000"/>
                <w:kern w:val="0"/>
                <w:sz w:val="24"/>
                <w:szCs w:val="24"/>
                <w:highlight w:val="none"/>
                <w:lang w:val="en-US" w:eastAsia="zh-CN" w:bidi="zh-CN"/>
              </w:rPr>
              <w:t>中华人民共和国商业银行法</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2.</w:t>
            </w:r>
            <w:r>
              <w:rPr>
                <w:rFonts w:hint="eastAsia" w:eastAsia="仿宋" w:cs="仿宋"/>
                <w:color w:val="000000"/>
                <w:kern w:val="0"/>
                <w:sz w:val="24"/>
                <w:szCs w:val="24"/>
                <w:highlight w:val="none"/>
                <w:lang w:val="en-US" w:eastAsia="zh-CN" w:bidi="zh-CN"/>
              </w:rPr>
              <w:t>GB/T 32320-2015 银行营业网点服务基本要求</w:t>
            </w:r>
          </w:p>
          <w:p>
            <w:pPr>
              <w:pStyle w:val="15"/>
              <w:numPr>
                <w:ilvl w:val="0"/>
                <w:numId w:val="0"/>
              </w:numPr>
              <w:spacing w:after="0" w:afterLines="0" w:afterAutospacing="0" w:line="240" w:lineRule="auto"/>
              <w:ind w:leftChars="0"/>
              <w:rPr>
                <w:rFonts w:hint="eastAsia" w:eastAsia="仿宋" w:cs="仿宋"/>
                <w:color w:val="000000"/>
                <w:kern w:val="0"/>
                <w:sz w:val="24"/>
                <w:szCs w:val="24"/>
                <w:highlight w:val="none"/>
                <w:lang w:val="en-US" w:eastAsia="zh-CN" w:bidi="zh-CN"/>
              </w:rPr>
            </w:pPr>
            <w:r>
              <w:rPr>
                <w:rFonts w:hint="eastAsia" w:cs="仿宋"/>
                <w:color w:val="000000"/>
                <w:kern w:val="0"/>
                <w:sz w:val="24"/>
                <w:szCs w:val="24"/>
                <w:highlight w:val="none"/>
                <w:lang w:val="en-US" w:eastAsia="zh-CN" w:bidi="zh-CN"/>
              </w:rPr>
              <w:t>3.</w:t>
            </w:r>
            <w:r>
              <w:rPr>
                <w:rFonts w:hint="eastAsia" w:eastAsia="仿宋" w:cs="仿宋"/>
                <w:color w:val="000000"/>
                <w:kern w:val="0"/>
                <w:sz w:val="24"/>
                <w:szCs w:val="24"/>
                <w:highlight w:val="none"/>
                <w:lang w:val="en-US" w:eastAsia="zh-CN" w:bidi="zh-CN"/>
              </w:rPr>
              <w:t>职业编码2-07-03-04 理财规划师国家职业标准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赛项赛场准备</w:t>
            </w:r>
          </w:p>
        </w:tc>
        <w:tc>
          <w:tcPr>
            <w:tcW w:w="79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eastAsia="仿宋" w:cs="Times New Roman"/>
                <w:color w:val="000000"/>
                <w:sz w:val="24"/>
                <w:szCs w:val="24"/>
                <w:lang w:eastAsia="zh-CN"/>
              </w:rPr>
            </w:pPr>
            <w:r>
              <w:rPr>
                <w:rFonts w:hint="eastAsia" w:eastAsia="仿宋" w:cs="Times New Roman"/>
                <w:color w:val="000000"/>
                <w:sz w:val="24"/>
                <w:szCs w:val="24"/>
                <w:lang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ind w:left="0" w:leftChars="0" w:firstLine="0" w:firstLineChars="0"/>
              <w:jc w:val="center"/>
              <w:rPr>
                <w:rFonts w:eastAsia="仿宋" w:cs="Times New Roman"/>
                <w:b/>
                <w:color w:val="000000"/>
                <w:sz w:val="24"/>
                <w:szCs w:val="24"/>
              </w:rPr>
            </w:pPr>
            <w:r>
              <w:rPr>
                <w:rFonts w:hint="eastAsia" w:eastAsia="仿宋" w:cs="Times New Roman"/>
                <w:b/>
                <w:color w:val="000000"/>
                <w:sz w:val="24"/>
                <w:szCs w:val="24"/>
              </w:rPr>
              <w:t>注意事项</w:t>
            </w:r>
          </w:p>
        </w:tc>
        <w:tc>
          <w:tcPr>
            <w:tcW w:w="7997" w:type="dxa"/>
            <w:gridSpan w:val="6"/>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eastAsia="仿宋" w:cs="Times New Roman"/>
                <w:color w:val="000000"/>
                <w:sz w:val="24"/>
                <w:szCs w:val="24"/>
              </w:rPr>
            </w:pPr>
          </w:p>
        </w:tc>
      </w:tr>
    </w:tbl>
    <w:p>
      <w:pPr>
        <w:pStyle w:val="4"/>
        <w:numPr>
          <w:ilvl w:val="0"/>
          <w:numId w:val="4"/>
        </w:numPr>
        <w:bidi w:val="0"/>
        <w:spacing w:line="360" w:lineRule="auto"/>
        <w:ind w:leftChars="200"/>
        <w:rPr>
          <w:rFonts w:hint="eastAsia" w:ascii="楷体" w:hAnsi="楷体" w:eastAsia="楷体" w:cs="楷体"/>
          <w:bCs/>
          <w:color w:val="auto"/>
          <w:spacing w:val="-4"/>
          <w:sz w:val="28"/>
          <w:szCs w:val="28"/>
          <w:highlight w:val="none"/>
          <w:lang w:val="en-US" w:eastAsia="zh-CN" w:bidi="ar-SA"/>
        </w:rPr>
      </w:pPr>
      <w:r>
        <w:rPr>
          <w:rFonts w:hint="eastAsia" w:ascii="楷体" w:hAnsi="楷体" w:eastAsia="楷体" w:cs="楷体"/>
          <w:bCs/>
          <w:color w:val="auto"/>
          <w:spacing w:val="-4"/>
          <w:sz w:val="28"/>
          <w:szCs w:val="28"/>
          <w:highlight w:val="none"/>
          <w:lang w:val="en-US" w:eastAsia="zh-CN" w:bidi="ar-SA"/>
        </w:rPr>
        <w:t>数字金融业务</w:t>
      </w:r>
    </w:p>
    <w:tbl>
      <w:tblPr>
        <w:tblStyle w:val="16"/>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098"/>
        <w:gridCol w:w="547"/>
        <w:gridCol w:w="829"/>
        <w:gridCol w:w="1013"/>
        <w:gridCol w:w="822"/>
        <w:gridCol w:w="1212"/>
        <w:gridCol w:w="1143"/>
        <w:gridCol w:w="109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8" w:type="dxa"/>
            <w:gridSpan w:val="3"/>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赛项名称</w:t>
            </w:r>
          </w:p>
        </w:tc>
        <w:tc>
          <w:tcPr>
            <w:tcW w:w="1842"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智慧金融</w:t>
            </w:r>
          </w:p>
        </w:tc>
        <w:tc>
          <w:tcPr>
            <w:tcW w:w="3177" w:type="dxa"/>
            <w:gridSpan w:val="3"/>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英语名称</w:t>
            </w:r>
          </w:p>
        </w:tc>
        <w:tc>
          <w:tcPr>
            <w:tcW w:w="1810"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color w:val="auto"/>
                <w:sz w:val="24"/>
                <w:szCs w:val="24"/>
              </w:rPr>
              <w:t>Smart 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8" w:type="dxa"/>
            <w:gridSpan w:val="3"/>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赛项编号</w:t>
            </w:r>
          </w:p>
        </w:tc>
        <w:tc>
          <w:tcPr>
            <w:tcW w:w="1842"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color w:val="auto"/>
                <w:sz w:val="24"/>
                <w:szCs w:val="24"/>
                <w:lang w:eastAsia="zh-CN"/>
              </w:rPr>
              <w:t>GZ044</w:t>
            </w:r>
          </w:p>
        </w:tc>
        <w:tc>
          <w:tcPr>
            <w:tcW w:w="3177" w:type="dxa"/>
            <w:gridSpan w:val="3"/>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归属产业</w:t>
            </w:r>
          </w:p>
        </w:tc>
        <w:tc>
          <w:tcPr>
            <w:tcW w:w="1810"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color w:val="auto"/>
                <w:sz w:val="24"/>
                <w:szCs w:val="24"/>
              </w:rPr>
              <w:t>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7" w:type="dxa"/>
            <w:gridSpan w:val="10"/>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0" w:type="dxa"/>
            <w:gridSpan w:val="5"/>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中职组</w:t>
            </w:r>
          </w:p>
        </w:tc>
        <w:tc>
          <w:tcPr>
            <w:tcW w:w="4987" w:type="dxa"/>
            <w:gridSpan w:val="5"/>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高职组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0" w:type="dxa"/>
            <w:gridSpan w:val="5"/>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□学生组 □教师组 □师生同赛试点赛项</w:t>
            </w:r>
          </w:p>
        </w:tc>
        <w:tc>
          <w:tcPr>
            <w:tcW w:w="4987" w:type="dxa"/>
            <w:gridSpan w:val="5"/>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sym w:font="Wingdings 2" w:char="0052"/>
            </w:r>
            <w:r>
              <w:rPr>
                <w:rFonts w:hint="eastAsia" w:ascii="仿宋" w:hAnsi="仿宋" w:eastAsia="仿宋" w:cs="仿宋"/>
                <w:b/>
                <w:color w:val="000000"/>
                <w:sz w:val="24"/>
                <w:szCs w:val="24"/>
                <w:highlight w:val="none"/>
                <w:lang w:val="en-US" w:eastAsia="zh-CN"/>
              </w:rPr>
              <w:t>学生组 □教师组 □师生同赛试点赛项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32" w:type="dxa"/>
            <w:gridSpan w:val="6"/>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模块数量</w:t>
            </w:r>
          </w:p>
        </w:tc>
        <w:tc>
          <w:tcPr>
            <w:tcW w:w="4165" w:type="dxa"/>
            <w:gridSpan w:val="4"/>
            <w:noWrap w:val="0"/>
            <w:vAlign w:val="center"/>
          </w:tcPr>
          <w:p>
            <w:pPr>
              <w:pStyle w:val="15"/>
              <w:adjustRightInd w:val="0"/>
              <w:snapToGrid w:val="0"/>
              <w:spacing w:after="0" w:line="240" w:lineRule="auto"/>
              <w:ind w:left="0" w:leftChars="0" w:firstLine="0" w:firstLineChars="0"/>
              <w:jc w:val="center"/>
              <w:rPr>
                <w:rFonts w:hint="default"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1098"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技能竞赛内容</w:t>
            </w:r>
          </w:p>
        </w:tc>
        <w:tc>
          <w:tcPr>
            <w:tcW w:w="1376"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技术技能要点</w:t>
            </w:r>
          </w:p>
        </w:tc>
        <w:tc>
          <w:tcPr>
            <w:tcW w:w="1835"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专业知识能力要求</w:t>
            </w:r>
          </w:p>
        </w:tc>
        <w:tc>
          <w:tcPr>
            <w:tcW w:w="1212"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对应核心课程</w:t>
            </w:r>
          </w:p>
        </w:tc>
        <w:tc>
          <w:tcPr>
            <w:tcW w:w="1143"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权重占比</w:t>
            </w:r>
          </w:p>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w:t>
            </w:r>
          </w:p>
        </w:tc>
        <w:tc>
          <w:tcPr>
            <w:tcW w:w="109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（min）</w:t>
            </w:r>
          </w:p>
        </w:tc>
        <w:tc>
          <w:tcPr>
            <w:tcW w:w="72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模块1</w:t>
            </w:r>
          </w:p>
        </w:tc>
        <w:tc>
          <w:tcPr>
            <w:tcW w:w="1098" w:type="dxa"/>
            <w:noWrap w:val="0"/>
            <w:vAlign w:val="center"/>
          </w:tcPr>
          <w:p>
            <w:pPr>
              <w:pStyle w:val="15"/>
              <w:spacing w:after="0" w:line="240" w:lineRule="auto"/>
              <w:ind w:left="0" w:leftChars="0" w:firstLine="0" w:firstLineChars="0"/>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大数据金融业务</w:t>
            </w:r>
          </w:p>
        </w:tc>
        <w:tc>
          <w:tcPr>
            <w:tcW w:w="1376" w:type="dxa"/>
            <w:gridSpan w:val="2"/>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rPr>
              <w:t>金融大数据采集与分析</w:t>
            </w:r>
          </w:p>
        </w:tc>
        <w:tc>
          <w:tcPr>
            <w:tcW w:w="1835" w:type="dxa"/>
            <w:gridSpan w:val="2"/>
            <w:noWrap w:val="0"/>
            <w:vAlign w:val="center"/>
          </w:tcPr>
          <w:p>
            <w:pPr>
              <w:pStyle w:val="15"/>
              <w:numPr>
                <w:ilvl w:val="0"/>
                <w:numId w:val="0"/>
              </w:numPr>
              <w:spacing w:after="0" w:line="240" w:lineRule="auto"/>
              <w:ind w:leftChars="0"/>
              <w:jc w:val="both"/>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具有适应产业数字化发展需要的金融科技领域数字化技能；</w:t>
            </w:r>
          </w:p>
          <w:p>
            <w:pPr>
              <w:pStyle w:val="15"/>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具有金融大数据采集与清洗、分析的能力 </w:t>
            </w:r>
          </w:p>
        </w:tc>
        <w:tc>
          <w:tcPr>
            <w:tcW w:w="1212" w:type="dxa"/>
            <w:noWrap w:val="0"/>
            <w:vAlign w:val="center"/>
          </w:tcPr>
          <w:p>
            <w:pPr>
              <w:pStyle w:val="15"/>
              <w:spacing w:after="0" w:line="240" w:lineRule="auto"/>
              <w:ind w:left="0" w:leftChars="0" w:firstLine="0" w:firstLineChars="0"/>
              <w:jc w:val="both"/>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大数据金融、</w:t>
            </w:r>
            <w:r>
              <w:rPr>
                <w:rFonts w:hint="eastAsia" w:ascii="仿宋" w:hAnsi="仿宋" w:eastAsia="仿宋" w:cs="仿宋"/>
                <w:b w:val="0"/>
                <w:bCs w:val="0"/>
                <w:sz w:val="24"/>
                <w:szCs w:val="24"/>
                <w:lang w:val="en-US" w:eastAsia="zh-CN"/>
              </w:rPr>
              <w:t>金融大数据处理</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highlight w:val="none"/>
                <w:lang w:val="en-US" w:eastAsia="zh-CN"/>
              </w:rPr>
              <w:t>3.33</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18</w:t>
            </w:r>
          </w:p>
        </w:tc>
        <w:tc>
          <w:tcPr>
            <w:tcW w:w="72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模块2</w:t>
            </w:r>
          </w:p>
        </w:tc>
        <w:tc>
          <w:tcPr>
            <w:tcW w:w="1098" w:type="dxa"/>
            <w:noWrap w:val="0"/>
            <w:vAlign w:val="center"/>
          </w:tcPr>
          <w:p>
            <w:pPr>
              <w:pStyle w:val="15"/>
              <w:spacing w:after="0" w:line="240" w:lineRule="auto"/>
              <w:ind w:left="0" w:leftChars="0" w:firstLine="0" w:firstLineChars="0"/>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区块链金融业务</w:t>
            </w:r>
          </w:p>
        </w:tc>
        <w:tc>
          <w:tcPr>
            <w:tcW w:w="1376" w:type="dxa"/>
            <w:gridSpan w:val="2"/>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rPr>
              <w:t>区块链搭链、智能合约编写</w:t>
            </w:r>
          </w:p>
        </w:tc>
        <w:tc>
          <w:tcPr>
            <w:tcW w:w="1835" w:type="dxa"/>
            <w:gridSpan w:val="2"/>
            <w:noWrap w:val="0"/>
            <w:vAlign w:val="center"/>
          </w:tcPr>
          <w:p>
            <w:pPr>
              <w:pStyle w:val="15"/>
              <w:numPr>
                <w:ilvl w:val="0"/>
                <w:numId w:val="0"/>
              </w:numPr>
              <w:spacing w:after="0" w:line="240" w:lineRule="auto"/>
              <w:ind w:leftChars="0"/>
              <w:jc w:val="both"/>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具有区块链搭链、智能合约编写的能力；</w:t>
            </w:r>
          </w:p>
          <w:p>
            <w:pPr>
              <w:pStyle w:val="15"/>
              <w:numPr>
                <w:ilvl w:val="0"/>
                <w:numId w:val="0"/>
              </w:numPr>
              <w:spacing w:after="0" w:line="240" w:lineRule="auto"/>
              <w:ind w:leftChars="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具有适应现代金融业的新知识、新技术、新方法、新应用的能力</w:t>
            </w:r>
          </w:p>
        </w:tc>
        <w:tc>
          <w:tcPr>
            <w:tcW w:w="1212" w:type="dxa"/>
            <w:noWrap w:val="0"/>
            <w:vAlign w:val="center"/>
          </w:tcPr>
          <w:p>
            <w:pPr>
              <w:pStyle w:val="15"/>
              <w:spacing w:after="0" w:line="240" w:lineRule="auto"/>
              <w:ind w:left="0" w:leftChars="0" w:firstLine="0" w:firstLineChars="0"/>
              <w:jc w:val="both"/>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区块链金融</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highlight w:val="none"/>
                <w:lang w:val="en-US" w:eastAsia="zh-CN"/>
              </w:rPr>
              <w:t>5</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27</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模块3</w:t>
            </w:r>
          </w:p>
        </w:tc>
        <w:tc>
          <w:tcPr>
            <w:tcW w:w="1098" w:type="dxa"/>
            <w:noWrap w:val="0"/>
            <w:vAlign w:val="center"/>
          </w:tcPr>
          <w:p>
            <w:pPr>
              <w:spacing w:after="0" w:line="240" w:lineRule="auto"/>
              <w:ind w:left="0" w:leftChars="0"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支付业务数字化</w:t>
            </w:r>
          </w:p>
        </w:tc>
        <w:tc>
          <w:tcPr>
            <w:tcW w:w="1376" w:type="dxa"/>
            <w:gridSpan w:val="2"/>
            <w:noWrap w:val="0"/>
            <w:vAlign w:val="center"/>
          </w:tcPr>
          <w:p>
            <w:pPr>
              <w:spacing w:after="0" w:line="240" w:lineRule="auto"/>
              <w:ind w:left="0" w:leftChars="0"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国际结算、外汇交易</w:t>
            </w:r>
          </w:p>
        </w:tc>
        <w:tc>
          <w:tcPr>
            <w:tcW w:w="1835" w:type="dxa"/>
            <w:gridSpan w:val="2"/>
            <w:noWrap w:val="0"/>
            <w:vAlign w:val="center"/>
          </w:tcPr>
          <w:p>
            <w:pPr>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cs="仿宋"/>
                <w:color w:val="000000"/>
                <w:sz w:val="24"/>
                <w:szCs w:val="24"/>
                <w:highlight w:val="none"/>
                <w:lang w:val="en-US" w:eastAsia="zh-CN"/>
              </w:rPr>
              <w:t>1.</w:t>
            </w:r>
            <w:r>
              <w:rPr>
                <w:rFonts w:hint="eastAsia" w:ascii="仿宋" w:hAnsi="仿宋" w:eastAsia="仿宋" w:cs="仿宋"/>
                <w:color w:val="000000"/>
                <w:sz w:val="24"/>
                <w:szCs w:val="24"/>
                <w:highlight w:val="none"/>
                <w:lang w:val="en-US" w:eastAsia="zh-CN"/>
              </w:rPr>
              <w:t>具有投资分析能力</w:t>
            </w:r>
            <w:r>
              <w:rPr>
                <w:rFonts w:hint="eastAsia" w:ascii="仿宋" w:hAnsi="仿宋" w:cs="仿宋"/>
                <w:color w:val="000000"/>
                <w:sz w:val="24"/>
                <w:szCs w:val="24"/>
                <w:highlight w:val="none"/>
                <w:lang w:val="en-US" w:eastAsia="zh-CN"/>
              </w:rPr>
              <w:t>；</w:t>
            </w:r>
          </w:p>
          <w:p>
            <w:pPr>
              <w:numPr>
                <w:ilvl w:val="0"/>
                <w:numId w:val="0"/>
              </w:numPr>
              <w:spacing w:after="0" w:line="240" w:lineRule="auto"/>
              <w:ind w:leftChars="0"/>
              <w:jc w:val="both"/>
              <w:rPr>
                <w:rFonts w:hint="eastAsia" w:ascii="仿宋" w:hAnsi="仿宋" w:eastAsia="仿宋" w:cs="仿宋"/>
                <w:color w:val="000000"/>
                <w:kern w:val="2"/>
                <w:sz w:val="24"/>
                <w:szCs w:val="24"/>
                <w:highlight w:val="none"/>
                <w:lang w:val="en-US" w:eastAsia="zh-CN" w:bidi="ar-SA"/>
              </w:rPr>
            </w:pPr>
            <w:r>
              <w:rPr>
                <w:rFonts w:hint="eastAsia" w:ascii="仿宋" w:hAnsi="仿宋" w:cs="仿宋"/>
                <w:color w:val="000000"/>
                <w:sz w:val="24"/>
                <w:szCs w:val="24"/>
                <w:highlight w:val="none"/>
                <w:lang w:val="en-US" w:eastAsia="zh-CN"/>
              </w:rPr>
              <w:t>2.</w:t>
            </w:r>
            <w:r>
              <w:rPr>
                <w:rFonts w:hint="eastAsia" w:ascii="仿宋" w:hAnsi="仿宋" w:eastAsia="仿宋" w:cs="仿宋"/>
                <w:color w:val="000000"/>
                <w:sz w:val="24"/>
                <w:szCs w:val="24"/>
                <w:highlight w:val="none"/>
                <w:lang w:val="en-US" w:eastAsia="zh-CN"/>
              </w:rPr>
              <w:t>具有国际结算、外汇交易、外汇管理能力</w:t>
            </w:r>
          </w:p>
        </w:tc>
        <w:tc>
          <w:tcPr>
            <w:tcW w:w="1212" w:type="dxa"/>
            <w:noWrap w:val="0"/>
            <w:vAlign w:val="center"/>
          </w:tcPr>
          <w:p>
            <w:pPr>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国际投融资实务、外汇交易实务、</w:t>
            </w:r>
          </w:p>
          <w:p>
            <w:pPr>
              <w:spacing w:after="0" w:line="240" w:lineRule="auto"/>
              <w:ind w:left="0" w:leftChars="0"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国际结算业务</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highlight w:val="none"/>
                <w:lang w:val="en-US" w:eastAsia="zh-CN"/>
              </w:rPr>
              <w:t>5</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27</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模块4</w:t>
            </w:r>
          </w:p>
        </w:tc>
        <w:tc>
          <w:tcPr>
            <w:tcW w:w="1098" w:type="dxa"/>
            <w:noWrap w:val="0"/>
            <w:vAlign w:val="center"/>
          </w:tcPr>
          <w:p>
            <w:pPr>
              <w:spacing w:after="0" w:line="240" w:lineRule="auto"/>
              <w:ind w:left="0" w:leftChars="0"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银行业务数字化</w:t>
            </w:r>
          </w:p>
        </w:tc>
        <w:tc>
          <w:tcPr>
            <w:tcW w:w="1376" w:type="dxa"/>
            <w:gridSpan w:val="2"/>
            <w:noWrap w:val="0"/>
            <w:vAlign w:val="center"/>
          </w:tcPr>
          <w:p>
            <w:pPr>
              <w:spacing w:after="0" w:line="240" w:lineRule="auto"/>
              <w:ind w:left="0" w:leftChars="0" w:firstLine="0" w:firstLineChars="0"/>
              <w:jc w:val="both"/>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银行信贷资产信用审核与贷后管理、信用风险管理</w:t>
            </w:r>
          </w:p>
        </w:tc>
        <w:tc>
          <w:tcPr>
            <w:tcW w:w="1835" w:type="dxa"/>
            <w:gridSpan w:val="2"/>
            <w:noWrap w:val="0"/>
            <w:vAlign w:val="center"/>
          </w:tcPr>
          <w:p>
            <w:pPr>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1.具有银行信贷审核与管理、信用产品营销与服务的技能</w:t>
            </w:r>
            <w:r>
              <w:rPr>
                <w:rFonts w:hint="eastAsia" w:ascii="仿宋" w:hAnsi="仿宋" w:cs="仿宋"/>
                <w:color w:val="000000"/>
                <w:sz w:val="24"/>
                <w:szCs w:val="24"/>
                <w:highlight w:val="none"/>
                <w:lang w:val="en-US" w:eastAsia="zh-CN"/>
              </w:rPr>
              <w:t>；</w:t>
            </w:r>
          </w:p>
          <w:p>
            <w:pPr>
              <w:numPr>
                <w:ilvl w:val="0"/>
                <w:numId w:val="0"/>
              </w:numPr>
              <w:spacing w:after="0" w:line="240" w:lineRule="auto"/>
              <w:ind w:left="0" w:leftChars="0" w:firstLine="0" w:firstLineChars="0"/>
              <w:jc w:val="both"/>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2.具有适应信用管理领域数字化发展需求的征信应用能力</w:t>
            </w:r>
          </w:p>
        </w:tc>
        <w:tc>
          <w:tcPr>
            <w:tcW w:w="1212" w:type="dxa"/>
            <w:noWrap w:val="0"/>
            <w:vAlign w:val="center"/>
          </w:tcPr>
          <w:p>
            <w:pPr>
              <w:spacing w:after="0" w:line="240" w:lineRule="auto"/>
              <w:ind w:left="0" w:leftChars="0"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金融服务营销、银行产品、企业信用管理、消费者信用管理</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highlight w:val="none"/>
                <w:lang w:val="en-US" w:eastAsia="zh-CN"/>
              </w:rPr>
              <w:t>5</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27</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模块5</w:t>
            </w:r>
          </w:p>
        </w:tc>
        <w:tc>
          <w:tcPr>
            <w:tcW w:w="1098"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rPr>
              <w:t>证券业务数字化</w:t>
            </w:r>
          </w:p>
        </w:tc>
        <w:tc>
          <w:tcPr>
            <w:tcW w:w="1376" w:type="dxa"/>
            <w:gridSpan w:val="2"/>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客户开发与服务、金融产品投资分析、金融产品推广与营销、金融科技领域数字化技能及营销方案撰写、活动策划及实施</w:t>
            </w:r>
          </w:p>
        </w:tc>
        <w:tc>
          <w:tcPr>
            <w:tcW w:w="1835" w:type="dxa"/>
            <w:gridSpan w:val="2"/>
            <w:noWrap w:val="0"/>
            <w:vAlign w:val="center"/>
          </w:tcPr>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1.具有为客户提供证券经纪、期货经纪、投资分析、投资咨询等服务的能力；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2.具有为客户进行理财规划和配置资产的能力；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3.具有向客户进行金融产品推广和营销的能力；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4.具有使用办公软件、行情软件、客服软件等处理信息技术的能力；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5.具有使用金融领域基本数字化工具的能力；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6.具有依照证券市场基本法律法规、行业相关绿色生产、安全防护、质量管理等要求办理相关业务的能力；</w:t>
            </w:r>
          </w:p>
          <w:p>
            <w:pPr>
              <w:pStyle w:val="15"/>
              <w:spacing w:after="0" w:line="240" w:lineRule="auto"/>
              <w:ind w:left="0" w:leftChars="0" w:firstLine="0" w:firstLineChars="0"/>
              <w:jc w:val="left"/>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7.具有运用创新意识、互联网思维研究并解决问题的能力</w:t>
            </w:r>
          </w:p>
        </w:tc>
        <w:tc>
          <w:tcPr>
            <w:tcW w:w="1212"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证券投资分析、证券投资基金、投资银行业务、期货原理与实务、个人理财、金融营销、金融风险管理</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yellow"/>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6.67</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36</w:t>
            </w:r>
          </w:p>
        </w:tc>
        <w:tc>
          <w:tcPr>
            <w:tcW w:w="720"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模块6</w:t>
            </w:r>
          </w:p>
        </w:tc>
        <w:tc>
          <w:tcPr>
            <w:tcW w:w="1098"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保险业业务数字化</w:t>
            </w:r>
          </w:p>
        </w:tc>
        <w:tc>
          <w:tcPr>
            <w:tcW w:w="1376" w:type="dxa"/>
            <w:gridSpan w:val="2"/>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rPr>
              <w:t>金融科技领域数字化技能及营销方案撰写、活动策划及实施</w:t>
            </w:r>
          </w:p>
        </w:tc>
        <w:tc>
          <w:tcPr>
            <w:tcW w:w="1835" w:type="dxa"/>
            <w:gridSpan w:val="2"/>
            <w:noWrap w:val="0"/>
            <w:vAlign w:val="center"/>
          </w:tcPr>
          <w:p>
            <w:pPr>
              <w:pStyle w:val="15"/>
              <w:numPr>
                <w:ilvl w:val="0"/>
                <w:numId w:val="0"/>
              </w:numPr>
              <w:spacing w:after="0" w:line="240" w:lineRule="auto"/>
              <w:ind w:leftChars="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具有量身定制保险理财规划、保险产品推广及销售等工作的能力；</w:t>
            </w:r>
          </w:p>
          <w:p>
            <w:pPr>
              <w:pStyle w:val="15"/>
              <w:numPr>
                <w:ilvl w:val="0"/>
                <w:numId w:val="0"/>
              </w:numPr>
              <w:spacing w:after="0" w:line="240" w:lineRule="auto"/>
              <w:ind w:leftChars="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.具有风险识别与评估、风险查勘、损失分析与核定、理赔调查等核保理赔能力</w:t>
            </w:r>
            <w:r>
              <w:rPr>
                <w:rFonts w:hint="eastAsia" w:ascii="仿宋" w:hAnsi="仿宋" w:eastAsia="仿宋" w:cs="仿宋"/>
                <w:sz w:val="24"/>
                <w:szCs w:val="24"/>
                <w:lang w:eastAsia="zh-CN"/>
              </w:rPr>
              <w:t>；</w:t>
            </w:r>
          </w:p>
          <w:p>
            <w:pPr>
              <w:pStyle w:val="15"/>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具有数字营销方案撰写、活动策划及实施的能力</w:t>
            </w:r>
          </w:p>
        </w:tc>
        <w:tc>
          <w:tcPr>
            <w:tcW w:w="1212" w:type="dxa"/>
            <w:noWrap w:val="0"/>
            <w:vAlign w:val="center"/>
          </w:tcPr>
          <w:p>
            <w:pPr>
              <w:pStyle w:val="15"/>
              <w:spacing w:after="0" w:line="240" w:lineRule="auto"/>
              <w:ind w:left="0" w:leftChars="0" w:firstLine="0" w:firstLineChars="0"/>
              <w:jc w:val="both"/>
              <w:rPr>
                <w:rFonts w:hint="eastAsia" w:ascii="仿宋" w:hAnsi="仿宋" w:eastAsia="仿宋" w:cs="仿宋"/>
                <w:b w:val="0"/>
                <w:bCs w:val="0"/>
                <w:sz w:val="24"/>
                <w:szCs w:val="24"/>
                <w:lang w:val="en-US" w:eastAsia="zh-CN"/>
              </w:rPr>
            </w:pPr>
            <w:r>
              <w:rPr>
                <w:rFonts w:hint="eastAsia" w:ascii="仿宋" w:hAnsi="仿宋" w:eastAsia="仿宋" w:cs="仿宋"/>
                <w:b w:val="0"/>
                <w:bCs w:val="0"/>
                <w:color w:val="000000"/>
                <w:sz w:val="24"/>
                <w:szCs w:val="24"/>
                <w:highlight w:val="none"/>
                <w:lang w:val="en-US" w:eastAsia="zh-CN"/>
              </w:rPr>
              <w:t>金融科技产品设计、</w:t>
            </w:r>
            <w:r>
              <w:rPr>
                <w:rFonts w:hint="eastAsia" w:ascii="仿宋" w:hAnsi="仿宋" w:eastAsia="仿宋" w:cs="仿宋"/>
                <w:b w:val="0"/>
                <w:bCs w:val="0"/>
                <w:sz w:val="24"/>
                <w:szCs w:val="24"/>
              </w:rPr>
              <w:t>保险科技应用</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人身保险实务、财产保险实务、保险营销技巧</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highlight w:val="none"/>
                <w:lang w:val="en-US" w:eastAsia="zh-CN"/>
              </w:rPr>
              <w:t>5</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27</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模块7</w:t>
            </w:r>
          </w:p>
        </w:tc>
        <w:tc>
          <w:tcPr>
            <w:tcW w:w="1098"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金融科技业务创新</w:t>
            </w:r>
          </w:p>
        </w:tc>
        <w:tc>
          <w:tcPr>
            <w:tcW w:w="1376" w:type="dxa"/>
            <w:gridSpan w:val="2"/>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供应链金融、信用结算</w:t>
            </w:r>
            <w:r>
              <w:rPr>
                <w:rFonts w:hint="eastAsia" w:ascii="仿宋" w:hAnsi="仿宋" w:eastAsia="仿宋" w:cs="仿宋"/>
                <w:sz w:val="24"/>
                <w:szCs w:val="24"/>
              </w:rPr>
              <w:t>、</w:t>
            </w:r>
            <w:r>
              <w:rPr>
                <w:rFonts w:hint="eastAsia" w:ascii="仿宋" w:hAnsi="仿宋" w:eastAsia="仿宋" w:cs="仿宋"/>
                <w:sz w:val="24"/>
                <w:szCs w:val="24"/>
                <w:lang w:val="en-US" w:eastAsia="zh-CN"/>
              </w:rPr>
              <w:t>涉农</w:t>
            </w:r>
            <w:r>
              <w:rPr>
                <w:rFonts w:hint="eastAsia" w:ascii="仿宋" w:hAnsi="仿宋" w:eastAsia="仿宋" w:cs="仿宋"/>
                <w:sz w:val="24"/>
                <w:szCs w:val="24"/>
              </w:rPr>
              <w:t>贷款</w:t>
            </w:r>
          </w:p>
        </w:tc>
        <w:tc>
          <w:tcPr>
            <w:tcW w:w="1835" w:type="dxa"/>
            <w:gridSpan w:val="2"/>
            <w:noWrap w:val="0"/>
            <w:vAlign w:val="center"/>
          </w:tcPr>
          <w:p>
            <w:pPr>
              <w:pStyle w:val="15"/>
              <w:numPr>
                <w:ilvl w:val="0"/>
                <w:numId w:val="0"/>
              </w:numPr>
              <w:spacing w:after="0" w:line="240" w:lineRule="auto"/>
              <w:ind w:leftChars="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具有适应金融产业数字化发展需求的信息技术基础知识、专业信息技术能力等基本数字化技能；</w:t>
            </w:r>
          </w:p>
          <w:p>
            <w:pPr>
              <w:pStyle w:val="15"/>
              <w:numPr>
                <w:ilvl w:val="0"/>
                <w:numId w:val="0"/>
              </w:numPr>
              <w:spacing w:after="0" w:line="240" w:lineRule="auto"/>
              <w:ind w:leftChars="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具有适应现代金融业的新知识、新技术、新方法、新应用的能力</w:t>
            </w:r>
          </w:p>
        </w:tc>
        <w:tc>
          <w:tcPr>
            <w:tcW w:w="1212" w:type="dxa"/>
            <w:noWrap w:val="0"/>
            <w:vAlign w:val="center"/>
          </w:tcPr>
          <w:p>
            <w:pPr>
              <w:pStyle w:val="15"/>
              <w:spacing w:after="0" w:line="240" w:lineRule="auto"/>
              <w:ind w:left="0" w:leftChars="0" w:firstLine="0" w:firstLineChars="0"/>
              <w:jc w:val="both"/>
              <w:rPr>
                <w:rFonts w:hint="eastAsia" w:ascii="仿宋" w:hAnsi="仿宋" w:eastAsia="仿宋" w:cs="仿宋"/>
                <w:b w:val="0"/>
                <w:bCs w:val="0"/>
                <w:sz w:val="24"/>
                <w:szCs w:val="24"/>
                <w:lang w:val="en-US" w:eastAsia="zh-CN"/>
              </w:rPr>
            </w:pPr>
            <w:r>
              <w:rPr>
                <w:rFonts w:hint="eastAsia" w:ascii="仿宋" w:hAnsi="仿宋" w:eastAsia="仿宋" w:cs="仿宋"/>
                <w:b w:val="0"/>
                <w:bCs w:val="0"/>
                <w:color w:val="000000"/>
                <w:sz w:val="24"/>
                <w:szCs w:val="24"/>
                <w:highlight w:val="none"/>
                <w:lang w:val="en-US" w:eastAsia="zh-CN"/>
              </w:rPr>
              <w:t>金融科技营销、</w:t>
            </w:r>
            <w:r>
              <w:rPr>
                <w:rFonts w:hint="eastAsia" w:ascii="仿宋" w:hAnsi="仿宋" w:eastAsia="仿宋" w:cs="仿宋"/>
                <w:b w:val="0"/>
                <w:bCs w:val="0"/>
                <w:sz w:val="24"/>
                <w:szCs w:val="24"/>
                <w:lang w:val="en-US" w:eastAsia="zh-CN"/>
              </w:rPr>
              <w:t>商业银行综合柜台业务、</w:t>
            </w:r>
            <w:r>
              <w:rPr>
                <w:rFonts w:hint="eastAsia" w:ascii="仿宋" w:hAnsi="仿宋" w:eastAsia="仿宋" w:cs="仿宋"/>
                <w:b w:val="0"/>
                <w:bCs w:val="0"/>
                <w:sz w:val="24"/>
                <w:szCs w:val="24"/>
              </w:rPr>
              <w:t>农村金融风险与合规</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highlight w:val="none"/>
                <w:lang w:val="en-US" w:eastAsia="zh-CN"/>
              </w:rPr>
              <w:t>1.67</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9</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823" w:type="dxa"/>
            <w:noWrap w:val="0"/>
            <w:vAlign w:val="center"/>
          </w:tcPr>
          <w:p>
            <w:pPr>
              <w:pStyle w:val="15"/>
              <w:spacing w:after="0" w:line="240" w:lineRule="auto"/>
              <w:ind w:left="0" w:leftChars="0" w:firstLine="0" w:firstLineChars="0"/>
              <w:jc w:val="center"/>
              <w:rPr>
                <w:rFonts w:hint="eastAsia" w:ascii="仿宋" w:hAnsi="仿宋" w:eastAsia="仿宋" w:cs="仿宋"/>
                <w:b/>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模块8</w:t>
            </w:r>
          </w:p>
        </w:tc>
        <w:tc>
          <w:tcPr>
            <w:tcW w:w="1098"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rPr>
              <w:t>数字金融业务监管</w:t>
            </w:r>
          </w:p>
        </w:tc>
        <w:tc>
          <w:tcPr>
            <w:tcW w:w="1376" w:type="dxa"/>
            <w:gridSpan w:val="2"/>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金融科技风险控制、信用风险管理、金融业务风险审查</w:t>
            </w:r>
          </w:p>
        </w:tc>
        <w:tc>
          <w:tcPr>
            <w:tcW w:w="1835" w:type="dxa"/>
            <w:gridSpan w:val="2"/>
            <w:noWrap w:val="0"/>
            <w:vAlign w:val="center"/>
          </w:tcPr>
          <w:p>
            <w:pPr>
              <w:pStyle w:val="15"/>
              <w:numPr>
                <w:ilvl w:val="0"/>
                <w:numId w:val="0"/>
              </w:numPr>
              <w:spacing w:after="0" w:line="240" w:lineRule="auto"/>
              <w:ind w:left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1.具有根据相关法律法规和行业规范开展金融服务和业务风险审查的能力；</w:t>
            </w:r>
          </w:p>
          <w:p>
            <w:pPr>
              <w:pStyle w:val="15"/>
              <w:numPr>
                <w:ilvl w:val="0"/>
                <w:numId w:val="0"/>
              </w:numPr>
              <w:spacing w:after="0" w:line="240" w:lineRule="auto"/>
              <w:ind w:leftChars="0"/>
              <w:jc w:val="both"/>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2.具有金融数据处理技能和信息技术应用的能力；</w:t>
            </w:r>
          </w:p>
          <w:p>
            <w:pPr>
              <w:pStyle w:val="15"/>
              <w:numPr>
                <w:ilvl w:val="0"/>
                <w:numId w:val="0"/>
              </w:numPr>
              <w:spacing w:after="0" w:line="240" w:lineRule="auto"/>
              <w:ind w:leftChars="0"/>
              <w:jc w:val="both"/>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3.具有运用创新意识、互联网思维研究并解决问题的能力</w:t>
            </w:r>
          </w:p>
        </w:tc>
        <w:tc>
          <w:tcPr>
            <w:tcW w:w="1212"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金融风险与合规、金融科技合规实务、金</w:t>
            </w:r>
          </w:p>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融风险管理</w:t>
            </w:r>
          </w:p>
        </w:tc>
        <w:tc>
          <w:tcPr>
            <w:tcW w:w="1143"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yellow"/>
                <w:shd w:val="clear" w:color="auto" w:fill="auto"/>
                <w:lang w:val="en-US" w:eastAsia="zh-CN" w:bidi="ar-SA"/>
              </w:rPr>
            </w:pPr>
            <w:r>
              <w:rPr>
                <w:rFonts w:hint="eastAsia" w:ascii="仿宋" w:hAnsi="仿宋" w:eastAsia="仿宋" w:cs="仿宋"/>
                <w:b w:val="0"/>
                <w:bCs w:val="0"/>
                <w:color w:val="auto"/>
                <w:kern w:val="2"/>
                <w:sz w:val="24"/>
                <w:szCs w:val="24"/>
                <w:highlight w:val="none"/>
                <w:shd w:val="clear" w:color="auto" w:fill="auto"/>
                <w:lang w:val="en-US" w:eastAsia="zh-CN" w:bidi="ar-SA"/>
              </w:rPr>
              <w:t>1.67</w:t>
            </w:r>
          </w:p>
        </w:tc>
        <w:tc>
          <w:tcPr>
            <w:tcW w:w="1090"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9</w:t>
            </w:r>
          </w:p>
        </w:tc>
        <w:tc>
          <w:tcPr>
            <w:tcW w:w="720" w:type="dxa"/>
            <w:noWrap w:val="0"/>
            <w:vAlign w:val="center"/>
          </w:tcPr>
          <w:p>
            <w:pPr>
              <w:pStyle w:val="15"/>
              <w:spacing w:after="0" w:line="240" w:lineRule="auto"/>
              <w:ind w:left="0" w:leftChars="0" w:firstLine="0" w:firstLineChars="0"/>
              <w:jc w:val="center"/>
              <w:rPr>
                <w:rFonts w:hint="eastAsia" w:ascii="仿宋" w:hAnsi="仿宋" w:eastAsia="仿宋" w:cs="仿宋"/>
                <w:b w:val="0"/>
                <w:bCs w:val="0"/>
                <w:color w:val="auto"/>
                <w:kern w:val="2"/>
                <w:sz w:val="24"/>
                <w:szCs w:val="24"/>
                <w:highlight w:val="none"/>
                <w:shd w:val="clear" w:color="auto" w:fill="auto"/>
                <w:lang w:val="en-US" w:eastAsia="zh-CN" w:bidi="ar-SA"/>
              </w:rPr>
            </w:pPr>
            <w:r>
              <w:rPr>
                <w:rFonts w:hint="eastAsia" w:ascii="仿宋" w:hAnsi="仿宋" w:eastAsia="仿宋" w:cs="仿宋"/>
                <w:b w:val="0"/>
                <w:bCs w:val="0"/>
                <w:color w:val="auto"/>
                <w:sz w:val="24"/>
                <w:szCs w:val="24"/>
                <w:highlight w:val="none"/>
                <w:shd w:val="clear" w:color="auto" w:fill="auto"/>
                <w:lang w:val="en-US" w:eastAsia="zh-CN"/>
              </w:rPr>
              <w:t>机考评分</w:t>
            </w:r>
          </w:p>
        </w:tc>
      </w:tr>
    </w:tbl>
    <w:p>
      <w:pPr>
        <w:ind w:firstLine="0" w:firstLineChars="0"/>
        <w:jc w:val="center"/>
        <w:rPr>
          <w:rFonts w:hint="eastAsia" w:ascii="仿宋" w:hAnsi="仿宋" w:eastAsia="仿宋" w:cs="仿宋"/>
          <w:b/>
          <w:color w:val="000000"/>
          <w:sz w:val="24"/>
          <w:szCs w:val="24"/>
          <w:highlight w:val="none"/>
          <w:lang w:val="en-US" w:eastAsia="zh-CN" w:bidi="zh-CN"/>
        </w:rPr>
      </w:pPr>
    </w:p>
    <w:p>
      <w:pPr>
        <w:ind w:firstLine="0" w:firstLineChars="0"/>
        <w:jc w:val="both"/>
        <w:rPr>
          <w:rFonts w:hint="default"/>
          <w:lang w:val="en-US" w:eastAsia="zh-CN"/>
        </w:rPr>
      </w:pPr>
      <w:r>
        <w:rPr>
          <w:rFonts w:hint="default" w:ascii="仿宋_GB2312" w:hAnsi="仿宋_GB2312" w:eastAsia="仿宋_GB2312" w:cs="仿宋_GB2312"/>
          <w:b/>
          <w:bCs/>
          <w:color w:val="auto"/>
          <w:sz w:val="28"/>
          <w:szCs w:val="28"/>
          <w:highlight w:val="none"/>
          <w:lang w:val="en-US" w:eastAsia="zh-CN" w:bidi="zh-CN"/>
        </w:rPr>
        <w:t>1.大数据金融业务</w:t>
      </w:r>
    </w:p>
    <w:tbl>
      <w:tblPr>
        <w:tblStyle w:val="16"/>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025"/>
        <w:gridCol w:w="1301"/>
        <w:gridCol w:w="944"/>
        <w:gridCol w:w="1600"/>
        <w:gridCol w:w="163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2326"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模块1</w:t>
            </w:r>
          </w:p>
        </w:tc>
        <w:tc>
          <w:tcPr>
            <w:tcW w:w="2544"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3176"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2326"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大数据金融业务</w:t>
            </w:r>
          </w:p>
        </w:tc>
        <w:tc>
          <w:tcPr>
            <w:tcW w:w="2544"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3176"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8046" w:type="dxa"/>
            <w:gridSpan w:val="6"/>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8046" w:type="dxa"/>
            <w:gridSpan w:val="6"/>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某云服务提供机构新建了3个快速配置云服务，配置分别如下表，随后新建了4个云应用</w:t>
            </w:r>
          </w:p>
          <w:p>
            <w:pPr>
              <w:keepNext w:val="0"/>
              <w:keepLines w:val="0"/>
              <w:pageBreakBefore w:val="0"/>
              <w:widowControl/>
              <w:kinsoku/>
              <w:wordWrap/>
              <w:overflowPunct/>
              <w:topLinePunct w:val="0"/>
              <w:bidi w:val="0"/>
              <w:spacing w:beforeAutospacing="0" w:line="24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云服务</w:t>
            </w:r>
          </w:p>
          <w:tbl>
            <w:tblPr>
              <w:tblStyle w:val="1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480"/>
              <w:gridCol w:w="702"/>
              <w:gridCol w:w="783"/>
              <w:gridCol w:w="889"/>
              <w:gridCol w:w="648"/>
              <w:gridCol w:w="502"/>
              <w:gridCol w:w="790"/>
              <w:gridCol w:w="1140"/>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307" w:type="pct"/>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地域</w:t>
                  </w:r>
                </w:p>
              </w:tc>
              <w:tc>
                <w:tcPr>
                  <w:tcW w:w="44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公网IP</w:t>
                  </w:r>
                </w:p>
              </w:tc>
              <w:tc>
                <w:tcPr>
                  <w:tcW w:w="50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实例族</w:t>
                  </w:r>
                </w:p>
              </w:tc>
              <w:tc>
                <w:tcPr>
                  <w:tcW w:w="56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实例类型</w:t>
                  </w:r>
                </w:p>
              </w:tc>
              <w:tc>
                <w:tcPr>
                  <w:tcW w:w="41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vCPU</w:t>
                  </w:r>
                </w:p>
              </w:tc>
              <w:tc>
                <w:tcPr>
                  <w:tcW w:w="32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内存</w:t>
                  </w:r>
                </w:p>
              </w:tc>
              <w:tc>
                <w:tcPr>
                  <w:tcW w:w="505"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网络收发包</w:t>
                  </w:r>
                </w:p>
              </w:tc>
              <w:tc>
                <w:tcPr>
                  <w:tcW w:w="72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系统盘</w:t>
                  </w:r>
                </w:p>
              </w:tc>
              <w:tc>
                <w:tcPr>
                  <w:tcW w:w="836"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数据盘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07"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广州</w:t>
                  </w:r>
                </w:p>
              </w:tc>
              <w:tc>
                <w:tcPr>
                  <w:tcW w:w="44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150</w:t>
                  </w:r>
                </w:p>
              </w:tc>
              <w:tc>
                <w:tcPr>
                  <w:tcW w:w="50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大数据型</w:t>
                  </w:r>
                </w:p>
              </w:tc>
              <w:tc>
                <w:tcPr>
                  <w:tcW w:w="56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大数据型D2</w:t>
                  </w:r>
                </w:p>
              </w:tc>
              <w:tc>
                <w:tcPr>
                  <w:tcW w:w="41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16核</w:t>
                  </w:r>
                </w:p>
              </w:tc>
              <w:tc>
                <w:tcPr>
                  <w:tcW w:w="32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64G</w:t>
                  </w:r>
                </w:p>
              </w:tc>
              <w:tc>
                <w:tcPr>
                  <w:tcW w:w="505"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150</w:t>
                  </w:r>
                </w:p>
              </w:tc>
              <w:tc>
                <w:tcPr>
                  <w:tcW w:w="72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高性能云硬盘120G</w:t>
                  </w:r>
                </w:p>
              </w:tc>
              <w:tc>
                <w:tcPr>
                  <w:tcW w:w="836"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SSD云硬盘</w:t>
                  </w:r>
                </w:p>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数量1，容量1024G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7"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重庆</w:t>
                  </w:r>
                </w:p>
              </w:tc>
              <w:tc>
                <w:tcPr>
                  <w:tcW w:w="44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w:t>
                  </w:r>
                </w:p>
              </w:tc>
              <w:tc>
                <w:tcPr>
                  <w:tcW w:w="50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内存型</w:t>
                  </w:r>
                </w:p>
              </w:tc>
              <w:tc>
                <w:tcPr>
                  <w:tcW w:w="56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安全增强内存型M6ce</w:t>
                  </w:r>
                </w:p>
              </w:tc>
              <w:tc>
                <w:tcPr>
                  <w:tcW w:w="41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8核</w:t>
                  </w:r>
                </w:p>
              </w:tc>
              <w:tc>
                <w:tcPr>
                  <w:tcW w:w="32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64G</w:t>
                  </w:r>
                </w:p>
              </w:tc>
              <w:tc>
                <w:tcPr>
                  <w:tcW w:w="505"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w:t>
                  </w:r>
                </w:p>
              </w:tc>
              <w:tc>
                <w:tcPr>
                  <w:tcW w:w="72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高性能云硬盘60G</w:t>
                  </w:r>
                </w:p>
              </w:tc>
              <w:tc>
                <w:tcPr>
                  <w:tcW w:w="836"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高性能云硬盘</w:t>
                  </w:r>
                </w:p>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数量2，容量1024G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7"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南京</w:t>
                  </w:r>
                </w:p>
              </w:tc>
              <w:tc>
                <w:tcPr>
                  <w:tcW w:w="44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50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标准型</w:t>
                  </w:r>
                </w:p>
              </w:tc>
              <w:tc>
                <w:tcPr>
                  <w:tcW w:w="56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标准型S6</w:t>
                  </w:r>
                </w:p>
              </w:tc>
              <w:tc>
                <w:tcPr>
                  <w:tcW w:w="414"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4核</w:t>
                  </w:r>
                </w:p>
              </w:tc>
              <w:tc>
                <w:tcPr>
                  <w:tcW w:w="321"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4G</w:t>
                  </w:r>
                </w:p>
              </w:tc>
              <w:tc>
                <w:tcPr>
                  <w:tcW w:w="505"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729"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SSD云硬盘50G</w:t>
                  </w:r>
                </w:p>
              </w:tc>
              <w:tc>
                <w:tcPr>
                  <w:tcW w:w="836" w:type="pct"/>
                  <w:vAlign w:val="center"/>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bl>
          <w:p>
            <w:pPr>
              <w:keepNext w:val="0"/>
              <w:keepLines w:val="0"/>
              <w:pageBreakBefore w:val="0"/>
              <w:widowControl/>
              <w:kinsoku/>
              <w:wordWrap/>
              <w:overflowPunct/>
              <w:topLinePunct w:val="0"/>
              <w:bidi w:val="0"/>
              <w:spacing w:beforeAutospacing="0" w:line="240" w:lineRule="auto"/>
              <w:ind w:left="0" w:leftChars="0"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云应用</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61"/>
              <w:gridCol w:w="1383"/>
              <w:gridCol w:w="2171"/>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551"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应用类型</w:t>
                  </w:r>
                </w:p>
              </w:tc>
              <w:tc>
                <w:tcPr>
                  <w:tcW w:w="884"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应用描述</w:t>
                  </w:r>
                </w:p>
              </w:tc>
              <w:tc>
                <w:tcPr>
                  <w:tcW w:w="1840"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551"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云存储</w:t>
                  </w:r>
                </w:p>
              </w:tc>
              <w:tc>
                <w:tcPr>
                  <w:tcW w:w="884"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标准存储</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1.数据持久性99.9999999999（12个9）</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2.服务可用性99.995%</w:t>
                  </w:r>
                </w:p>
              </w:tc>
              <w:tc>
                <w:tcPr>
                  <w:tcW w:w="1840"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1.手机图片、重要文件、商业数据、敏感信息等场景</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2.毫秒级数据响应</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3.不限制存储时间</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4.支持多AZ架构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551"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云存储</w:t>
                  </w:r>
                </w:p>
              </w:tc>
              <w:tc>
                <w:tcPr>
                  <w:tcW w:w="884"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智能分层存储</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1.数据持久性99.9999999999（12个9）</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2.服务可用性99.995%</w:t>
                  </w:r>
                </w:p>
              </w:tc>
              <w:tc>
                <w:tcPr>
                  <w:tcW w:w="1840"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1.适用于数据访问模式不固定的场景</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2.毫秒级数据响应</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3.最低30天存储时间</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4.支持多AZ架构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551"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云金融安全</w:t>
                  </w:r>
                </w:p>
              </w:tc>
              <w:tc>
                <w:tcPr>
                  <w:tcW w:w="884"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金融级实人认证</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构建安全防线，行业口碑之选</w:t>
                  </w:r>
                </w:p>
              </w:tc>
              <w:tc>
                <w:tcPr>
                  <w:tcW w:w="1840"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1.金融级别安全水位，广泛应用于银行、证券、保险等行业</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2.领先的生物识别技术，为用户提供安全便捷的数字身份识别解决方案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keepNext w:val="0"/>
                    <w:keepLines w:val="0"/>
                    <w:pageBreakBefore w:val="0"/>
                    <w:widowControl/>
                    <w:kinsoku/>
                    <w:wordWrap/>
                    <w:overflowPunct/>
                    <w:topLinePunct w:val="0"/>
                    <w:autoSpaceDE/>
                    <w:autoSpaceDN/>
                    <w:bidi w:val="0"/>
                    <w:adjustRightInd/>
                    <w:snapToGrid/>
                    <w:spacing w:beforeAutospacing="0" w:line="24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551"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云金融安全</w:t>
                  </w:r>
                </w:p>
              </w:tc>
              <w:tc>
                <w:tcPr>
                  <w:tcW w:w="884"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风险识别</w:t>
                  </w:r>
                </w:p>
              </w:tc>
              <w:tc>
                <w:tcPr>
                  <w:tcW w:w="1387"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一站式识别业务风险</w:t>
                  </w:r>
                </w:p>
              </w:tc>
              <w:tc>
                <w:tcPr>
                  <w:tcW w:w="1840" w:type="pct"/>
                  <w:vAlign w:val="center"/>
                </w:tcPr>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1.快速接入</w:t>
                  </w:r>
                </w:p>
                <w:p>
                  <w:pPr>
                    <w:keepNext w:val="0"/>
                    <w:keepLines w:val="0"/>
                    <w:pageBreakBefore w:val="0"/>
                    <w:widowControl/>
                    <w:kinsoku/>
                    <w:wordWrap/>
                    <w:overflowPunct/>
                    <w:topLinePunct w:val="0"/>
                    <w:autoSpaceDE/>
                    <w:autoSpaceDN/>
                    <w:bidi w:val="0"/>
                    <w:adjustRightInd w:val="0"/>
                    <w:snapToGrid w:val="0"/>
                    <w:spacing w:beforeAutospacing="0"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2.支持多重场景服务使用</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某证券公司希望通过云服务开展资产管理业务，于是于2023年4月4日向云服务提供机构申请实例族为大数据型的快速配置云服务，申请时长一年，云服务提供机构同意了该证券公司的申请，证券公司完成账户充值后支付款项。随后该证券公司购买了智能分层存储和风险识别两个云应用。（扣款账号：6228021901114512，银行卡密码：888888，云服务密码：666666）</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该证券公司于2023年4月10日进行基础设施检测（防雷检测和消防设施检测），随后新建了资产管理业务，风险等级为R2；为了避免损失，公司安排数据采集人员分别创建了“基金客户数据采集”、“其他客户数据采集”两个数据采集任务；数据采集人员在数据采集任务中获取到了大量证券投资客户数据，并分别在“基金客户数据导入”任务中根据公司的业务方向导入了性别、民族、月收入、理财_基金交易申请提交次数、理财_基金交易成功次数；在“其他客户数据导入”任务中根据公司的业务方向导入了文化程度、单位性质、职称、年收入、个股_委托交易次数、账户_其他交易次数、银证转账_转账成功次数等数据，数据采集人员核查导入完成的数据后储存了数据。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据分析人员希望通过储存的数据去分析各类投资客户的特性，从而为新客户推荐合适的基金产品，于是数据分析人员在“基金客户数据分析”数据分析任务中分析了基金投资客户的性别、民族、月收入、理财_基金交易申请提交、理财_基金交易成功等属性分布情况；在“其他客户数据分析”数据分析任务中分析了其他投资客户的文化程度、单位性质、职称、年收入、个股_委托交易次数、账户_其他交易次数等属性分布情况；在分析人员观察大量的数据后发现用户个人属性和操作行为数据之间有密切的联系，于是在“基金客户数据挖掘”任务中，数据分析人员发现了其中的线性回归表达式为：y=0.024x+0.25z，y为理财_基金交易成功次数；x为月收入，z为理财_基金交易申请提交次数；在“其他客户数据挖掘”任务中，数据分析人员发现了其中的线性回归表达式为：y=0.32x+0.23z，y为账户_其他交易次数，x为个股_委托交易次数，z为银证转账_转账成功次数。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着数据分析人员为了进一步分析数据，分别在“基金客户可视化分析”任务中分别以性别、民族、月收入为维度，以理财_基金交易申请提交、理财_基金交易成功为指标分别创建了堆叠条形图、堆叠柱状图、极坐标柱状图；在“其他客户可视化分析”任务中分别以文化程度、单位性质、职称、年收入为维度，以个股_委托交易次数、账户_其他交易次数、银证转账_转账成功次数为指标分别创建了堆叠柱状图、堆叠条形图、堆叠折线图、极坐标柱状图。      </w:t>
            </w:r>
          </w:p>
          <w:p>
            <w:pPr>
              <w:keepNext w:val="0"/>
              <w:keepLines w:val="0"/>
              <w:pageBreakBefore w:val="0"/>
              <w:widowControl/>
              <w:kinsoku/>
              <w:wordWrap/>
              <w:overflowPunct/>
              <w:topLinePunct w:val="0"/>
              <w:bidi w:val="0"/>
              <w:spacing w:beforeAutospacing="0" w:line="240" w:lineRule="auto"/>
              <w:ind w:left="0" w:leftChars="0" w:firstLine="48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营销人员在拿到客户数据后，针对二十五至三十五岁（含二十五岁和三十五岁）且年收入不少于六万五千元的客户群体分别在“基金客户画像”任务中以性别、月收入、理财_基金交易申请提交次数、理财_基金交易成功次数等维度的前两项指标以柱状图的形式进行了用户画像分析；在“其他客户画像”任务中以文化程度、单位性质、职称、年收入、账户_其他交易次数、银证转账_转账成功次数等维度的全部指标以饼状图的形式进行了用户画像分析。接着营销人员针对用户画像的人群创建了“理财客户周期发送微信”精准营销任务，并设置每月15日给该客户群发送微信；在“基金客户周期发送短信”精准营销任务中设置每周日给该客户群发送短信；“其他客户立即推送消息”精准营销任务中立即给该客户群推送营销消息。</w:t>
            </w:r>
          </w:p>
          <w:p>
            <w:pPr>
              <w:keepNext w:val="0"/>
              <w:keepLines w:val="0"/>
              <w:pageBreakBefore w:val="0"/>
              <w:widowControl/>
              <w:kinsoku/>
              <w:wordWrap/>
              <w:overflowPunct/>
              <w:topLinePunct w:val="0"/>
              <w:bidi w:val="0"/>
              <w:spacing w:beforeAutospacing="0" w:line="240" w:lineRule="auto"/>
              <w:ind w:left="0" w:leftChars="0" w:firstLine="480"/>
              <w:rPr>
                <w:rFonts w:hint="eastAsia" w:ascii="仿宋" w:hAnsi="仿宋" w:eastAsia="仿宋" w:cs="仿宋"/>
                <w:sz w:val="24"/>
                <w:szCs w:val="24"/>
                <w:lang w:val="en-US" w:eastAsia="zh-CN"/>
              </w:rPr>
            </w:pPr>
            <w:r>
              <w:rPr>
                <w:rFonts w:hint="eastAsia" w:ascii="仿宋" w:hAnsi="仿宋" w:eastAsia="仿宋" w:cs="仿宋"/>
                <w:i w:val="0"/>
                <w:iCs w:val="0"/>
                <w:caps w:val="0"/>
                <w:color w:val="000000"/>
                <w:spacing w:val="0"/>
                <w:kern w:val="0"/>
                <w:sz w:val="24"/>
                <w:szCs w:val="24"/>
                <w:lang w:val="en-US" w:eastAsia="zh-CN" w:bidi="ar"/>
              </w:rPr>
              <w:t>收到营销信息后，某个人用户随即向该证券公司申请了资产管理业务，证券公司审批同意。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8046" w:type="dxa"/>
            <w:gridSpan w:val="6"/>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025"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2245"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1600"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1633"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543"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025"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2245"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基于大数据云计算架构，完成云服务的申请</w:t>
            </w:r>
          </w:p>
        </w:tc>
        <w:tc>
          <w:tcPr>
            <w:tcW w:w="1600"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1.新建云服务</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2.云服务申请</w:t>
            </w:r>
          </w:p>
        </w:tc>
        <w:tc>
          <w:tcPr>
            <w:tcW w:w="163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1.云服务新建流程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2.云服务新建信息</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3.云服务申请流程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4.云服务申请信息</w:t>
            </w:r>
          </w:p>
        </w:tc>
        <w:tc>
          <w:tcPr>
            <w:tcW w:w="154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025"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子任务1-2</w:t>
            </w:r>
          </w:p>
        </w:tc>
        <w:tc>
          <w:tcPr>
            <w:tcW w:w="2245"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基于大数据云计算架构，完成云存储</w:t>
            </w:r>
          </w:p>
        </w:tc>
        <w:tc>
          <w:tcPr>
            <w:tcW w:w="1600"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1.新建云应用</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2.云应用购买</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3.新建业务</w:t>
            </w:r>
          </w:p>
        </w:tc>
        <w:tc>
          <w:tcPr>
            <w:tcW w:w="163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1.云应用新建信息</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2.云应用购买流程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3.新建业务信息</w:t>
            </w:r>
          </w:p>
        </w:tc>
        <w:tc>
          <w:tcPr>
            <w:tcW w:w="154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025"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子任务1-3</w:t>
            </w:r>
          </w:p>
        </w:tc>
        <w:tc>
          <w:tcPr>
            <w:tcW w:w="2245"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b w:val="0"/>
                <w:bCs w:val="0"/>
                <w:color w:val="auto"/>
                <w:spacing w:val="-3"/>
                <w:kern w:val="2"/>
                <w:sz w:val="24"/>
                <w:szCs w:val="24"/>
                <w:lang w:val="en-US" w:eastAsia="zh-CN" w:bidi="zh-CN"/>
              </w:rPr>
            </w:pPr>
            <w:r>
              <w:rPr>
                <w:rFonts w:hint="eastAsia" w:ascii="仿宋" w:hAnsi="仿宋" w:eastAsia="仿宋" w:cs="仿宋"/>
                <w:b w:val="0"/>
                <w:bCs w:val="0"/>
                <w:color w:val="auto"/>
                <w:spacing w:val="-3"/>
                <w:sz w:val="24"/>
                <w:szCs w:val="24"/>
                <w:lang w:val="en-US" w:eastAsia="zh-CN" w:bidi="zh-CN"/>
              </w:rPr>
              <w:t>运用金融大数据采集分析技术完成证券客户</w:t>
            </w:r>
            <w:r>
              <w:rPr>
                <w:rFonts w:hint="eastAsia" w:ascii="仿宋" w:hAnsi="仿宋" w:eastAsia="仿宋" w:cs="仿宋"/>
                <w:b w:val="0"/>
                <w:bCs w:val="0"/>
                <w:color w:val="auto"/>
                <w:spacing w:val="-3"/>
                <w:sz w:val="24"/>
                <w:szCs w:val="24"/>
                <w:highlight w:val="none"/>
                <w:lang w:val="en-US" w:eastAsia="zh-CN" w:bidi="zh-CN"/>
              </w:rPr>
              <w:t>数据</w:t>
            </w:r>
            <w:r>
              <w:rPr>
                <w:rFonts w:hint="eastAsia" w:ascii="仿宋" w:hAnsi="仿宋" w:eastAsia="仿宋" w:cs="仿宋"/>
                <w:b w:val="0"/>
                <w:bCs w:val="0"/>
                <w:color w:val="auto"/>
                <w:spacing w:val="-3"/>
                <w:sz w:val="24"/>
                <w:szCs w:val="24"/>
                <w:lang w:val="en-US" w:eastAsia="zh-CN" w:bidi="zh-CN"/>
              </w:rPr>
              <w:t>管理</w:t>
            </w:r>
          </w:p>
        </w:tc>
        <w:tc>
          <w:tcPr>
            <w:tcW w:w="1600"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1.数据采集</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2.数据导入和储存</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3.数据分析</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4.数据挖掘</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5.数据可视化</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6.用户画像</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7.精准营销</w:t>
            </w:r>
          </w:p>
        </w:tc>
        <w:tc>
          <w:tcPr>
            <w:tcW w:w="1633"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1.数据采集流程</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2.数据导入和储存流程</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3.数据分析流程</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4.数据挖掘流程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5.数据可视化流程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6.用户画像流程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7.精准营销流程</w:t>
            </w:r>
          </w:p>
        </w:tc>
        <w:tc>
          <w:tcPr>
            <w:tcW w:w="154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44"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025"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子任务1-4</w:t>
            </w:r>
          </w:p>
        </w:tc>
        <w:tc>
          <w:tcPr>
            <w:tcW w:w="2245"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b w:val="0"/>
                <w:bCs w:val="0"/>
                <w:color w:val="auto"/>
                <w:spacing w:val="-3"/>
                <w:kern w:val="2"/>
                <w:sz w:val="24"/>
                <w:szCs w:val="24"/>
                <w:lang w:val="en-US" w:eastAsia="zh-CN" w:bidi="zh-CN"/>
              </w:rPr>
            </w:pPr>
            <w:r>
              <w:rPr>
                <w:rFonts w:hint="eastAsia" w:ascii="仿宋" w:hAnsi="仿宋" w:eastAsia="仿宋" w:cs="仿宋"/>
                <w:color w:val="000000"/>
                <w:sz w:val="24"/>
                <w:szCs w:val="24"/>
                <w:highlight w:val="none"/>
                <w:lang w:val="en-US" w:eastAsia="zh-CN"/>
              </w:rPr>
              <w:t>完成用户业务申请</w:t>
            </w:r>
          </w:p>
        </w:tc>
        <w:tc>
          <w:tcPr>
            <w:tcW w:w="1600"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业务申请</w:t>
            </w:r>
          </w:p>
        </w:tc>
        <w:tc>
          <w:tcPr>
            <w:tcW w:w="163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业务申请流程</w:t>
            </w:r>
          </w:p>
        </w:tc>
        <w:tc>
          <w:tcPr>
            <w:tcW w:w="154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244"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025"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2245" w:type="dxa"/>
            <w:gridSpan w:val="2"/>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highlight w:val="none"/>
              </w:rPr>
              <w:t>更多样题详见题库素材包</w:t>
            </w:r>
          </w:p>
        </w:tc>
        <w:tc>
          <w:tcPr>
            <w:tcW w:w="1600" w:type="dxa"/>
            <w:noWrap w:val="0"/>
            <w:vAlign w:val="center"/>
          </w:tcPr>
          <w:p>
            <w:pPr>
              <w:jc w:val="center"/>
              <w:rPr>
                <w:rFonts w:hint="eastAsia" w:ascii="仿宋" w:hAnsi="仿宋" w:eastAsia="仿宋" w:cs="仿宋"/>
                <w:color w:val="000000"/>
                <w:kern w:val="2"/>
                <w:sz w:val="24"/>
                <w:szCs w:val="24"/>
                <w:highlight w:val="none"/>
                <w:lang w:val="en-US" w:eastAsia="zh-CN" w:bidi="ar-SA"/>
              </w:rPr>
            </w:pPr>
            <w:r>
              <w:rPr>
                <w:rFonts w:hint="eastAsia" w:ascii="仿宋_GB2312" w:eastAsia="仿宋_GB2312"/>
                <w:sz w:val="24"/>
                <w:szCs w:val="24"/>
              </w:rPr>
              <w:t>......</w:t>
            </w:r>
          </w:p>
        </w:tc>
        <w:tc>
          <w:tcPr>
            <w:tcW w:w="163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p>
        </w:tc>
        <w:tc>
          <w:tcPr>
            <w:tcW w:w="154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2326"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5720" w:type="dxa"/>
            <w:gridSpan w:val="4"/>
            <w:noWrap w:val="0"/>
            <w:vAlign w:val="center"/>
          </w:tcPr>
          <w:p>
            <w:pPr>
              <w:pStyle w:val="15"/>
              <w:numPr>
                <w:ilvl w:val="0"/>
                <w:numId w:val="0"/>
              </w:numPr>
              <w:spacing w:after="0" w:line="240" w:lineRule="auto"/>
              <w:ind w:leftChars="0"/>
              <w:jc w:val="both"/>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适应产业数字化发展需要的金融科技领域数字化技能；</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金融大数据采集与清洗、分析的能力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2326"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5720" w:type="dxa"/>
            <w:gridSpan w:val="4"/>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GB/T 38673-2020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信息技术 大数据 大数据系统基本要求</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GB/T 38667-2020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信息技术 大数据 数据分类指南</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GB/T 37722-2019</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信息技术 大数据存储与处理系统功能要求        </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GB/T 37721-2019</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信息技术 大数据分析系统功能要求</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JR/T 0166-2020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云计算技术金融应用规范 技术架构</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JR/T 0167-2020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云计算技术金融应用规范 安全技术要求</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JR/T 0237—2021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金融大数据平台总体技术要求</w:t>
            </w:r>
          </w:p>
          <w:p>
            <w:pPr>
              <w:pStyle w:val="15"/>
              <w:keepNext w:val="0"/>
              <w:keepLines w:val="0"/>
              <w:pageBreakBefore w:val="0"/>
              <w:numPr>
                <w:ilvl w:val="0"/>
                <w:numId w:val="0"/>
              </w:numPr>
              <w:kinsoku/>
              <w:wordWrap/>
              <w:overflowPunct/>
              <w:topLinePunct w:val="0"/>
              <w:bidi w:val="0"/>
              <w:spacing w:beforeAutospacing="0" w:after="0" w:afterLines="0" w:line="240" w:lineRule="auto"/>
              <w:ind w:left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8.职业编码  </w:t>
            </w:r>
            <w:r>
              <w:rPr>
                <w:rFonts w:ascii="宋体" w:hAnsi="宋体" w:eastAsia="宋体" w:cs="宋体"/>
                <w:sz w:val="24"/>
                <w:szCs w:val="24"/>
              </w:rPr>
              <w:t>2-02-10-11</w:t>
            </w:r>
            <w:r>
              <w:rPr>
                <w:rFonts w:hint="eastAsia" w:ascii="仿宋" w:hAnsi="仿宋" w:eastAsia="仿宋" w:cs="仿宋"/>
                <w:sz w:val="24"/>
                <w:szCs w:val="24"/>
                <w:lang w:val="en-US" w:eastAsia="zh-CN"/>
              </w:rPr>
              <w:t xml:space="preserve">  大数据工程技术人员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8046" w:type="dxa"/>
            <w:gridSpan w:val="6"/>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8046" w:type="dxa"/>
            <w:gridSpan w:val="6"/>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ind w:firstLine="0" w:firstLineChars="0"/>
        <w:jc w:val="center"/>
        <w:rPr>
          <w:rFonts w:hint="eastAsia" w:ascii="仿宋" w:hAnsi="仿宋" w:eastAsia="仿宋" w:cs="仿宋"/>
          <w:b/>
          <w:color w:val="000000"/>
          <w:sz w:val="24"/>
          <w:szCs w:val="24"/>
          <w:highlight w:val="none"/>
          <w:lang w:val="en-US" w:eastAsia="zh-CN" w:bidi="zh-CN"/>
        </w:rPr>
      </w:pPr>
    </w:p>
    <w:p>
      <w:pPr>
        <w:ind w:firstLine="0" w:firstLineChars="0"/>
        <w:jc w:val="both"/>
        <w:rPr>
          <w:rFonts w:hint="default"/>
          <w:b/>
          <w:bCs w:val="0"/>
          <w:sz w:val="24"/>
          <w:szCs w:val="24"/>
          <w:lang w:val="en-US"/>
        </w:rPr>
      </w:pPr>
      <w:r>
        <w:rPr>
          <w:rFonts w:hint="default" w:ascii="仿宋_GB2312" w:hAnsi="仿宋_GB2312" w:eastAsia="仿宋_GB2312" w:cs="仿宋_GB2312"/>
          <w:b/>
          <w:bCs/>
          <w:color w:val="auto"/>
          <w:sz w:val="28"/>
          <w:szCs w:val="28"/>
          <w:highlight w:val="none"/>
          <w:lang w:val="en-US" w:eastAsia="zh-CN" w:bidi="zh-CN"/>
        </w:rPr>
        <w:t>2.</w:t>
      </w:r>
      <w:r>
        <w:rPr>
          <w:rFonts w:hint="default" w:ascii="仿宋_GB2312" w:hAnsi="仿宋_GB2312" w:eastAsia="仿宋_GB2312" w:cs="仿宋_GB2312"/>
          <w:b/>
          <w:bCs/>
          <w:color w:val="auto"/>
          <w:sz w:val="28"/>
          <w:szCs w:val="28"/>
          <w:highlight w:val="none"/>
          <w:lang w:val="en-US" w:eastAsia="zh-CN"/>
        </w:rPr>
        <w:t>区块链金融业务</w:t>
      </w:r>
    </w:p>
    <w:tbl>
      <w:tblPr>
        <w:tblStyle w:val="16"/>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349"/>
        <w:gridCol w:w="511"/>
        <w:gridCol w:w="1240"/>
        <w:gridCol w:w="1871"/>
        <w:gridCol w:w="1756"/>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1860"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模块2</w:t>
            </w:r>
          </w:p>
        </w:tc>
        <w:tc>
          <w:tcPr>
            <w:tcW w:w="3111"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2779" w:type="dxa"/>
            <w:gridSpan w:val="2"/>
            <w:noWrap w:val="0"/>
            <w:vAlign w:val="center"/>
          </w:tcPr>
          <w:p>
            <w:pPr>
              <w:pStyle w:val="15"/>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1860" w:type="dxa"/>
            <w:gridSpan w:val="2"/>
            <w:noWrap w:val="0"/>
            <w:vAlign w:val="center"/>
          </w:tcPr>
          <w:p>
            <w:pPr>
              <w:pStyle w:val="15"/>
              <w:spacing w:after="0" w:line="240" w:lineRule="auto"/>
              <w:ind w:left="0" w:leftChars="0" w:firstLine="0" w:firstLineChars="0"/>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区块链金融业务</w:t>
            </w:r>
          </w:p>
        </w:tc>
        <w:tc>
          <w:tcPr>
            <w:tcW w:w="3111"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2779" w:type="dxa"/>
            <w:gridSpan w:val="2"/>
            <w:noWrap w:val="0"/>
            <w:vAlign w:val="center"/>
          </w:tcPr>
          <w:p>
            <w:pPr>
              <w:pStyle w:val="15"/>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7750"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7750" w:type="dxa"/>
            <w:gridSpan w:val="6"/>
            <w:noWrap w:val="0"/>
            <w:vAlign w:val="center"/>
          </w:tcPr>
          <w:p>
            <w:pPr>
              <w:pStyle w:val="14"/>
              <w:keepNext w:val="0"/>
              <w:keepLines w:val="0"/>
              <w:widowControl/>
              <w:suppressLineNumbers w:val="0"/>
              <w:spacing w:before="75" w:beforeAutospacing="0" w:after="75" w:afterAutospacing="0" w:line="240" w:lineRule="auto"/>
              <w:ind w:right="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区块链金融-链设计</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i w:val="0"/>
                <w:iCs w:val="0"/>
                <w:caps w:val="0"/>
                <w:color w:val="000000"/>
                <w:spacing w:val="0"/>
                <w:sz w:val="24"/>
                <w:szCs w:val="24"/>
                <w:shd w:val="clear" w:color="auto" w:fill="FFFFFF"/>
              </w:rPr>
            </w:pPr>
            <w:r>
              <w:rPr>
                <w:rFonts w:hint="eastAsia" w:ascii="仿宋" w:hAnsi="仿宋" w:eastAsia="仿宋" w:cs="仿宋"/>
                <w:i w:val="0"/>
                <w:iCs w:val="0"/>
                <w:caps w:val="0"/>
                <w:color w:val="000000"/>
                <w:spacing w:val="0"/>
                <w:sz w:val="24"/>
                <w:szCs w:val="24"/>
                <w:shd w:val="clear" w:color="auto" w:fill="FFFFFF"/>
                <w:lang w:val="en-US" w:eastAsia="zh-CN"/>
              </w:rPr>
              <w:t>1.</w:t>
            </w:r>
            <w:r>
              <w:rPr>
                <w:rFonts w:hint="eastAsia" w:ascii="仿宋" w:hAnsi="仿宋" w:eastAsia="仿宋" w:cs="仿宋"/>
                <w:i w:val="0"/>
                <w:iCs w:val="0"/>
                <w:caps w:val="0"/>
                <w:color w:val="000000"/>
                <w:spacing w:val="0"/>
                <w:sz w:val="24"/>
                <w:szCs w:val="24"/>
                <w:shd w:val="clear" w:color="auto" w:fill="FFFFFF"/>
              </w:rPr>
              <w:t>在区块链业务中，首先至少需要认证</w:t>
            </w:r>
            <w:r>
              <w:rPr>
                <w:rFonts w:hint="eastAsia" w:ascii="仿宋" w:hAnsi="仿宋" w:eastAsia="仿宋" w:cs="仿宋"/>
                <w:i w:val="0"/>
                <w:iCs w:val="0"/>
                <w:caps w:val="0"/>
                <w:color w:val="000000"/>
                <w:spacing w:val="0"/>
                <w:sz w:val="24"/>
                <w:szCs w:val="24"/>
                <w:shd w:val="clear" w:color="auto" w:fill="FFFFFF"/>
                <w:lang w:val="en-US" w:eastAsia="zh-CN"/>
              </w:rPr>
              <w:t>5</w:t>
            </w:r>
            <w:r>
              <w:rPr>
                <w:rFonts w:hint="eastAsia" w:ascii="仿宋" w:hAnsi="仿宋" w:eastAsia="仿宋" w:cs="仿宋"/>
                <w:i w:val="0"/>
                <w:iCs w:val="0"/>
                <w:caps w:val="0"/>
                <w:color w:val="000000"/>
                <w:spacing w:val="0"/>
                <w:sz w:val="24"/>
                <w:szCs w:val="24"/>
                <w:shd w:val="clear" w:color="auto" w:fill="FFFFFF"/>
              </w:rPr>
              <w:t>家机构，在接下来的区块链业务中需锁定这些机构，以完成相关区块链设计业务操作。</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i w:val="0"/>
                <w:iCs w:val="0"/>
                <w:caps w:val="0"/>
                <w:color w:val="000000"/>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shd w:val="clear" w:color="auto" w:fill="FFFFFF"/>
                <w:lang w:val="en-US" w:eastAsia="zh-CN"/>
              </w:rPr>
              <w:t>2.</w:t>
            </w:r>
            <w:r>
              <w:rPr>
                <w:rFonts w:hint="eastAsia" w:ascii="仿宋" w:hAnsi="仿宋" w:eastAsia="仿宋" w:cs="仿宋"/>
                <w:i w:val="0"/>
                <w:iCs w:val="0"/>
                <w:caps w:val="0"/>
                <w:color w:val="000000"/>
                <w:spacing w:val="0"/>
                <w:sz w:val="24"/>
                <w:szCs w:val="24"/>
                <w:shd w:val="clear" w:color="auto" w:fill="FFFFFF"/>
              </w:rPr>
              <w:t>区块链在业务应用中，需要各联盟成员之间达成共识，双方一致确认使用区块链技术往来支付，请创建至少</w:t>
            </w:r>
            <w:r>
              <w:rPr>
                <w:rFonts w:hint="eastAsia" w:ascii="仿宋" w:hAnsi="仿宋" w:eastAsia="仿宋" w:cs="仿宋"/>
                <w:i w:val="0"/>
                <w:iCs w:val="0"/>
                <w:caps w:val="0"/>
                <w:color w:val="000000"/>
                <w:spacing w:val="0"/>
                <w:sz w:val="24"/>
                <w:szCs w:val="24"/>
                <w:shd w:val="clear" w:color="auto" w:fill="FFFFFF"/>
                <w:lang w:val="en-US" w:eastAsia="zh-CN"/>
              </w:rPr>
              <w:t>1</w:t>
            </w:r>
            <w:r>
              <w:rPr>
                <w:rFonts w:hint="eastAsia" w:ascii="仿宋" w:hAnsi="仿宋" w:eastAsia="仿宋" w:cs="仿宋"/>
                <w:i w:val="0"/>
                <w:iCs w:val="0"/>
                <w:caps w:val="0"/>
                <w:color w:val="000000"/>
                <w:spacing w:val="0"/>
                <w:sz w:val="24"/>
                <w:szCs w:val="24"/>
                <w:shd w:val="clear" w:color="auto" w:fill="FFFFFF"/>
              </w:rPr>
              <w:t>条企业间合作使用的联盟链，作为后续操作的平台基础。</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i w:val="0"/>
                <w:iCs w:val="0"/>
                <w:caps w:val="0"/>
                <w:color w:val="000000"/>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shd w:val="clear" w:color="auto" w:fill="FFFFFF"/>
                <w:lang w:val="en-US" w:eastAsia="zh-CN"/>
              </w:rPr>
              <w:t>3.</w:t>
            </w:r>
            <w:r>
              <w:rPr>
                <w:rFonts w:hint="eastAsia" w:ascii="仿宋" w:hAnsi="仿宋" w:eastAsia="仿宋" w:cs="仿宋"/>
                <w:i w:val="0"/>
                <w:iCs w:val="0"/>
                <w:caps w:val="0"/>
                <w:color w:val="000000"/>
                <w:spacing w:val="0"/>
                <w:sz w:val="24"/>
                <w:szCs w:val="24"/>
                <w:shd w:val="clear" w:color="auto" w:fill="FFFFFF"/>
              </w:rPr>
              <w:t>创建联盟链的过程中要求节点数量达到一定要求方可开启联盟链，未启动的联盟链在业务中不能使用。请用链内成员企业邀请更多其它企业加入，使得有一条联盟链成员至少有</w:t>
            </w:r>
            <w:r>
              <w:rPr>
                <w:rFonts w:hint="eastAsia" w:ascii="仿宋" w:hAnsi="仿宋" w:eastAsia="仿宋" w:cs="仿宋"/>
                <w:i w:val="0"/>
                <w:iCs w:val="0"/>
                <w:caps w:val="0"/>
                <w:color w:val="000000"/>
                <w:spacing w:val="0"/>
                <w:sz w:val="24"/>
                <w:szCs w:val="24"/>
                <w:shd w:val="clear" w:color="auto" w:fill="FFFFFF"/>
                <w:lang w:val="en-US" w:eastAsia="zh-CN"/>
              </w:rPr>
              <w:t>5人，</w:t>
            </w:r>
            <w:r>
              <w:rPr>
                <w:rFonts w:hint="eastAsia" w:ascii="仿宋" w:hAnsi="仿宋" w:eastAsia="仿宋" w:cs="仿宋"/>
                <w:i w:val="0"/>
                <w:iCs w:val="0"/>
                <w:caps w:val="0"/>
                <w:color w:val="000000"/>
                <w:spacing w:val="0"/>
                <w:sz w:val="24"/>
                <w:szCs w:val="24"/>
                <w:shd w:val="clear" w:color="auto" w:fill="FFFFFF"/>
              </w:rPr>
              <w:t>并启动，方便后续体验联盟链交互操作。</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i w:val="0"/>
                <w:iCs w:val="0"/>
                <w:caps w:val="0"/>
                <w:color w:val="000000"/>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shd w:val="clear" w:color="auto" w:fill="FFFFFF"/>
                <w:lang w:val="en-US" w:eastAsia="zh-CN"/>
              </w:rPr>
              <w:t>4.</w:t>
            </w:r>
            <w:r>
              <w:rPr>
                <w:rFonts w:hint="eastAsia" w:ascii="仿宋" w:hAnsi="仿宋" w:eastAsia="仿宋" w:cs="仿宋"/>
                <w:i w:val="0"/>
                <w:iCs w:val="0"/>
                <w:caps w:val="0"/>
                <w:color w:val="000000"/>
                <w:spacing w:val="0"/>
                <w:sz w:val="24"/>
                <w:szCs w:val="24"/>
                <w:shd w:val="clear" w:color="auto" w:fill="FFFFFF"/>
              </w:rPr>
              <w:t>已有部署成功的联盟链，我们尝试共识操作壮大联盟链的规模，使得有一条已启动的联盟链的成员至少增加</w:t>
            </w:r>
            <w:r>
              <w:rPr>
                <w:rFonts w:hint="eastAsia" w:ascii="仿宋" w:hAnsi="仿宋" w:eastAsia="仿宋" w:cs="仿宋"/>
                <w:i w:val="0"/>
                <w:iCs w:val="0"/>
                <w:caps w:val="0"/>
                <w:color w:val="000000"/>
                <w:spacing w:val="0"/>
                <w:sz w:val="24"/>
                <w:szCs w:val="24"/>
                <w:shd w:val="clear" w:color="auto" w:fill="FFFFFF"/>
                <w:lang w:val="en-US" w:eastAsia="zh-CN"/>
              </w:rPr>
              <w:t>4人。</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i w:val="0"/>
                <w:iCs w:val="0"/>
                <w:caps w:val="0"/>
                <w:color w:val="000000"/>
                <w:spacing w:val="0"/>
                <w:sz w:val="24"/>
                <w:szCs w:val="24"/>
                <w:shd w:val="clear" w:color="auto" w:fill="FFFFFF"/>
                <w:lang w:val="en-US" w:eastAsia="zh-CN"/>
              </w:rPr>
            </w:pPr>
            <w:r>
              <w:rPr>
                <w:rFonts w:hint="eastAsia" w:ascii="仿宋" w:hAnsi="仿宋" w:eastAsia="仿宋" w:cs="仿宋"/>
                <w:i w:val="0"/>
                <w:iCs w:val="0"/>
                <w:caps w:val="0"/>
                <w:color w:val="000000"/>
                <w:spacing w:val="0"/>
                <w:sz w:val="24"/>
                <w:szCs w:val="24"/>
                <w:shd w:val="clear" w:color="auto" w:fill="FFFFFF"/>
                <w:lang w:val="en-US" w:eastAsia="zh-CN"/>
              </w:rPr>
              <w:t>5.</w:t>
            </w:r>
            <w:r>
              <w:rPr>
                <w:rFonts w:hint="eastAsia" w:ascii="仿宋" w:hAnsi="仿宋" w:eastAsia="仿宋" w:cs="仿宋"/>
                <w:i w:val="0"/>
                <w:iCs w:val="0"/>
                <w:caps w:val="0"/>
                <w:color w:val="000000"/>
                <w:spacing w:val="0"/>
                <w:sz w:val="24"/>
                <w:szCs w:val="24"/>
                <w:shd w:val="clear" w:color="auto" w:fill="FFFFFF"/>
              </w:rPr>
              <w:t>若发现联盟链上的节点异常，可通过共识操作对异常成员进行冻结，请在联盟链上至少冻结</w:t>
            </w:r>
            <w:r>
              <w:rPr>
                <w:rFonts w:hint="eastAsia" w:ascii="仿宋" w:hAnsi="仿宋" w:eastAsia="仿宋" w:cs="仿宋"/>
                <w:i w:val="0"/>
                <w:iCs w:val="0"/>
                <w:caps w:val="0"/>
                <w:color w:val="000000"/>
                <w:spacing w:val="0"/>
                <w:sz w:val="24"/>
                <w:szCs w:val="24"/>
                <w:shd w:val="clear" w:color="auto" w:fill="FFFFFF"/>
                <w:lang w:val="en-US" w:eastAsia="zh-CN"/>
              </w:rPr>
              <w:t>1</w:t>
            </w:r>
            <w:r>
              <w:rPr>
                <w:rFonts w:hint="eastAsia" w:ascii="仿宋" w:hAnsi="仿宋" w:eastAsia="仿宋" w:cs="仿宋"/>
                <w:i w:val="0"/>
                <w:iCs w:val="0"/>
                <w:caps w:val="0"/>
                <w:color w:val="000000"/>
                <w:spacing w:val="0"/>
                <w:sz w:val="24"/>
                <w:szCs w:val="24"/>
                <w:shd w:val="clear" w:color="auto" w:fill="FFFFFF"/>
              </w:rPr>
              <w:t>名成员。</w:t>
            </w:r>
          </w:p>
          <w:p>
            <w:pPr>
              <w:pStyle w:val="15"/>
              <w:spacing w:after="0" w:line="240" w:lineRule="auto"/>
              <w:ind w:left="0" w:leftChars="0" w:firstLine="480"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i w:val="0"/>
                <w:iCs w:val="0"/>
                <w:caps w:val="0"/>
                <w:color w:val="000000"/>
                <w:spacing w:val="0"/>
                <w:sz w:val="24"/>
                <w:szCs w:val="24"/>
                <w:shd w:val="clear" w:color="auto" w:fill="FFFFFF"/>
                <w:lang w:val="en-US" w:eastAsia="zh-CN"/>
              </w:rPr>
              <w:t>6.</w:t>
            </w:r>
            <w:r>
              <w:rPr>
                <w:rFonts w:hint="eastAsia" w:ascii="仿宋" w:hAnsi="仿宋" w:eastAsia="仿宋" w:cs="仿宋"/>
                <w:i w:val="0"/>
                <w:iCs w:val="0"/>
                <w:caps w:val="0"/>
                <w:color w:val="000000"/>
                <w:spacing w:val="0"/>
                <w:sz w:val="24"/>
                <w:szCs w:val="24"/>
                <w:shd w:val="clear" w:color="auto" w:fill="FFFFFF"/>
              </w:rPr>
              <w:t>共识节点拥有记账的权力，当联盟链内的成员认为某个节点不符合共识节点的要求，可对其发起修改节点的操作。通过管理联盟链，请将联盟链上至少</w:t>
            </w:r>
            <w:r>
              <w:rPr>
                <w:rFonts w:hint="eastAsia" w:ascii="仿宋" w:hAnsi="仿宋" w:eastAsia="仿宋" w:cs="仿宋"/>
                <w:i w:val="0"/>
                <w:iCs w:val="0"/>
                <w:caps w:val="0"/>
                <w:color w:val="000000"/>
                <w:spacing w:val="0"/>
                <w:sz w:val="24"/>
                <w:szCs w:val="24"/>
                <w:shd w:val="clear" w:color="auto" w:fill="FFFFFF"/>
                <w:lang w:val="en-US" w:eastAsia="zh-CN"/>
              </w:rPr>
              <w:t>1</w:t>
            </w:r>
            <w:r>
              <w:rPr>
                <w:rFonts w:hint="eastAsia" w:ascii="仿宋" w:hAnsi="仿宋" w:eastAsia="仿宋" w:cs="仿宋"/>
                <w:i w:val="0"/>
                <w:iCs w:val="0"/>
                <w:caps w:val="0"/>
                <w:color w:val="000000"/>
                <w:spacing w:val="0"/>
                <w:sz w:val="24"/>
                <w:szCs w:val="24"/>
                <w:shd w:val="clear" w:color="auto" w:fill="FFFFFF"/>
              </w:rPr>
              <w:t>名成员设置为广播节点。</w:t>
            </w:r>
          </w:p>
          <w:p>
            <w:pPr>
              <w:pStyle w:val="15"/>
              <w:spacing w:after="0" w:line="240" w:lineRule="auto"/>
              <w:ind w:left="0" w:leftChars="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区块链应用-资产证券化（ABS）业务</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企业A为了减少风险资产、提高资产的周转率，获得低成本融资，于是企业A以自有的融资租赁债权资产重组现金流、构建资产池发起资产证券化计划，并为该计划命名(例：融资租赁债权资产支持证券化计划），将计划委托平安证券股份有限公司、中诚信国际信用评级有限责任公司在深圳证券交易所挂牌上市发行，该笔企业经营收入权本金规模为5000万人民币，剩余期限6个月。</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为了实现“破产隔离”的独立的资产管理计划，于是平安证券股份有限公司以计划管理人身份组建以运营资产证券化为唯一目的的特殊目的机构SPV。</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证券化资产需要完成从发起人企业A到融资租赁债权资产支持证券化计划有限公司的转移，即实现资产的权属让渡，发起人的债权人将不得追索该资产，融资租赁债权资产支持证券化计划有限公司的债权人也不得追索发起人的其他资产，从而实现风险隔离。于是发起人企业A创建并签署了资产转让合同，并发送给融资租赁债权资产支持证券化计划有限公司签署同意转让，合同中需标明转让资产金额、转让方和收转让方等信息。</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发起人企业A通过添加优先/次级结构设置、超额抵押等内部增信方式增加了该资产证券化计划的信用等级；其中优先/次级结构设置该计划证券分层为融资租赁债权01、融资租赁债权02、融资租赁债权03三个层次，分别的等级为优先A级、优先B级、次级，规模占比分别为70%、25%、5%；超额抵押增信中的发行规模为3850万元；再通过对证券化资产进行风险分析与风险重组，并通过额外的现金流来源对预计的损失进行弥补，以降低可预见的信用风险，提高资产支持证券的信用等级。</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发起人企业A在给项目增信结束后，提交方案制定中的证券发售的方案，中诚信国际信用评级有限责任公司对未来资产能够产生的现金流以及对经过信用增级后的拟发证券进行评级，为投资者提供选择证券的依据。在信用评级的操作中，信用评级机构根据发起人制定方案过程中所制定的增信方式、资产池的特征、法律因素、财务因素等方面做出相应的证券信用评级，输出评级观点。</w:t>
            </w:r>
          </w:p>
          <w:p>
            <w:pPr>
              <w:pStyle w:val="15"/>
              <w:spacing w:after="0" w:line="240" w:lineRule="auto"/>
              <w:ind w:left="0" w:leftChars="0" w:firstLine="240" w:firstLineChars="1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 xml:space="preserve"> 经过中诚信国际信用评级有限责任公司信用评级后，融资租赁债权资产支持证券化计划有限公司作为发行人通过证券承销商向投资者销售证券。在发售证券的操作中，融资租赁债权资产支持证券化计划有限公司需要提交资产证券化准备阶段和申报阶段的资料，准备阶段需要上传资料准备阶段材料、项目初步评估材料、项目方案资料、尽职调查资料；申报阶段需要上传挂牌转让申请书、计划说明书、法律意见书、主要交易合同文本、其他中介报告、其他资料等；所有资料上传成功以后，提交给深圳证券交易所审批，深圳证券交易所审批通过后证券发行成功，获取发售收入。</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证券发售结束后，融资租赁债权资产支持证券化计划有限公司向发起人企业A支付购买证券化资产的价款。融资租赁债权资产支持证券化计划有限公司在获取证券发行收入后，按照约定的购买价格向发起人支付购买价款。在资产证券化价款支付的操作中，融资租赁债权资产支持证券化计划有限公司需要向发起人企业A转入发行证券所得的收入。</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证券发行完毕后到金融市场申请挂牌上市，实现资产的流动性。融资租赁债权资产支持证券化计划有限公司则需对资产池进行管理和处理，对资产所产生的现金流进行分配。在操作中融资租赁债权资产支持证券化计划有限公司需要获取资产池产生的现金流，并对资金统一进行管理和分配。</w:t>
            </w:r>
          </w:p>
          <w:p>
            <w:pPr>
              <w:pStyle w:val="15"/>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产池管理业务结束后，按照证券发行时的约定，待资产支持证券到期后，由资产池产生的收入在还本付息、支付各项服务费后，所有剩余，按协议规定在发起人企业A和融资租赁债权资产支持证券化计划有限公司之间进行分配。至此，整个资产证券化过程结束。在证券清偿的操作中，融资租赁债权资产支持证券化计划有限公司需要支付投资者本息、证券公司的承销费和管理费、评级机构的评级费用、审计费用、法律顾问费用，有剩余资金即分配剩余收入。</w:t>
            </w:r>
          </w:p>
          <w:p>
            <w:pPr>
              <w:pStyle w:val="15"/>
              <w:spacing w:after="0" w:line="240" w:lineRule="auto"/>
              <w:ind w:left="0" w:leftChars="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区块链应用-航空延误、意外险</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开学返校时间到了，用户1购买了中国西南航空公司（SZ）2023年2月6日从昆明飞往西安的SZ3548号航班，为保障出行安全，用户1购买了保障方案为出行当天起保，保障期限为7天，保障额度为200万的航空意外险。</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出行当天目的地西安大雾，用户1所乘坐航班遭遇了一般飞行事故；飞机在西安机场上空看不清飞机降落跑道，降落时偏离跑道受到巨大冲击力，用户1因此导致轻度骨折，中国西南航空公司确定事故信息后，及时在联盟链上发布了该日期该次航班所遭遇的事故。</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用户1在飞机降落后去医院治疗，花费750元，2023年2月7日，用户1向保险公司提交了医院治疗相关凭证和索赔申请书，保险公司经过审核，确定材料及事件属实，并支付了被保险人用户1的医疗费用。</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用户2计划过年和家人（用户1、用户3、用户4）去海南度假，所以提前购买了中国南方航空公司（CZ）2023年1月19日从厦门飞往海口的CZ6921号航班机票四张，由于担心航班延误导致错过酒店预订，用户2给自己和家人购买了“延误2小时及以上赔偿200元”方案的航空延误险。</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用户2与家人出行当天，我国空军在东南沿海有军事演练，航空管制时间4小时，4小时后解除管制，空军活动导致用户2所乘航班延误超过4小时，航空公司第一时间在联盟链上发布了航班延误信息，保险公司在联盟链上确认航空公司发布的延误信息后，智能合约自动执行理赔，将理赔金转到了被保险人账户。</w:t>
            </w:r>
          </w:p>
          <w:p>
            <w:pPr>
              <w:keepNext w:val="0"/>
              <w:keepLines w:val="0"/>
              <w:pageBreakBefore w:val="0"/>
              <w:widowControl w:val="0"/>
              <w:kinsoku/>
              <w:wordWrap/>
              <w:overflowPunct/>
              <w:topLinePunct w:val="0"/>
              <w:autoSpaceDE w:val="0"/>
              <w:autoSpaceDN w:val="0"/>
              <w:bidi w:val="0"/>
              <w:adjustRightInd/>
              <w:snapToGrid/>
              <w:spacing w:beforeAutospacing="0" w:line="240" w:lineRule="auto"/>
              <w:ind w:left="0" w:leftChars="0" w:firstLine="482" w:firstLineChars="20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区块链应用-电子发票</w:t>
            </w:r>
          </w:p>
          <w:p>
            <w:pPr>
              <w:keepNext w:val="0"/>
              <w:keepLines w:val="0"/>
              <w:pageBreakBefore w:val="0"/>
              <w:widowControl w:val="0"/>
              <w:kinsoku/>
              <w:wordWrap/>
              <w:overflowPunct/>
              <w:topLinePunct w:val="0"/>
              <w:autoSpaceDE w:val="0"/>
              <w:autoSpaceDN w:val="0"/>
              <w:bidi w:val="0"/>
              <w:adjustRightInd/>
              <w:snapToGrid/>
              <w:spacing w:beforeAutospacing="0" w:line="240" w:lineRule="auto"/>
              <w:ind w:left="0" w:leftChars="0" w:firstLine="480" w:firstLineChars="200"/>
              <w:jc w:val="both"/>
              <w:textAlignment w:val="auto"/>
              <w:rPr>
                <w:rFonts w:hint="eastAsia" w:ascii="仿宋" w:hAnsi="仿宋" w:eastAsia="仿宋" w:cs="仿宋"/>
                <w:sz w:val="24"/>
                <w:szCs w:val="24"/>
                <w:lang w:val="en-US"/>
              </w:rPr>
            </w:pPr>
            <w:r>
              <w:rPr>
                <w:rFonts w:hint="eastAsia" w:ascii="仿宋" w:hAnsi="仿宋" w:eastAsia="仿宋" w:cs="仿宋"/>
                <w:sz w:val="24"/>
                <w:szCs w:val="24"/>
              </w:rPr>
              <w:t>区块链电子发票具有全流程完整追溯、信息不可篡改等特性，与发票逻辑吻合，能够有效规避假发票，完善发票监管流程。此外，还具有降低成本、简化流程、保障数据安全和隐私的优势。</w:t>
            </w:r>
            <w:r>
              <w:rPr>
                <w:rFonts w:hint="eastAsia" w:ascii="仿宋" w:hAnsi="仿宋" w:eastAsia="仿宋" w:cs="仿宋"/>
                <w:sz w:val="24"/>
                <w:szCs w:val="24"/>
                <w:lang w:val="en-US" w:eastAsia="zh-CN"/>
              </w:rPr>
              <w:t>为方便后续业务的开展，</w:t>
            </w:r>
            <w:r>
              <w:rPr>
                <w:rFonts w:hint="eastAsia" w:ascii="仿宋" w:hAnsi="仿宋" w:eastAsia="仿宋" w:cs="仿宋"/>
                <w:sz w:val="24"/>
                <w:szCs w:val="24"/>
                <w:vertAlign w:val="baseline"/>
                <w:lang w:val="en-US" w:eastAsia="zh-CN"/>
              </w:rPr>
              <w:t>奥奇食品有限公司</w:t>
            </w:r>
            <w:r>
              <w:rPr>
                <w:rFonts w:hint="eastAsia" w:ascii="仿宋" w:hAnsi="仿宋" w:eastAsia="仿宋" w:cs="仿宋"/>
                <w:color w:val="000000"/>
                <w:sz w:val="24"/>
                <w:szCs w:val="24"/>
                <w:highlight w:val="none"/>
                <w:lang w:val="en-US" w:eastAsia="zh-CN"/>
              </w:rPr>
              <w:t>和</w:t>
            </w:r>
            <w:r>
              <w:rPr>
                <w:rFonts w:hint="eastAsia" w:ascii="仿宋" w:hAnsi="仿宋" w:eastAsia="仿宋" w:cs="仿宋"/>
                <w:sz w:val="24"/>
                <w:szCs w:val="24"/>
                <w:vertAlign w:val="baseline"/>
                <w:lang w:val="en-US" w:eastAsia="zh-CN"/>
              </w:rPr>
              <w:t>昆腾谷物有限公司决定开通区块链电子发票。</w:t>
            </w:r>
          </w:p>
          <w:p>
            <w:pPr>
              <w:pStyle w:val="15"/>
              <w:keepNext w:val="0"/>
              <w:keepLines w:val="0"/>
              <w:pageBreakBefore w:val="0"/>
              <w:kinsoku/>
              <w:wordWrap/>
              <w:overflowPunct/>
              <w:topLinePunct w:val="0"/>
              <w:bidi w:val="0"/>
              <w:spacing w:beforeAutospacing="0" w:after="0" w:afterLines="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vertAlign w:val="baseline"/>
                <w:lang w:val="en-US" w:eastAsia="zh-CN"/>
              </w:rPr>
              <w:t>奥奇食品有限公司首先</w:t>
            </w:r>
            <w:r>
              <w:rPr>
                <w:rFonts w:hint="eastAsia" w:ascii="仿宋" w:hAnsi="仿宋" w:eastAsia="仿宋" w:cs="仿宋"/>
                <w:color w:val="000000"/>
                <w:sz w:val="24"/>
                <w:szCs w:val="24"/>
                <w:highlight w:val="none"/>
                <w:lang w:val="en-US" w:eastAsia="zh-CN"/>
              </w:rPr>
              <w:t>创建智能合约，合约名称为《采购合约》，随后于2023年3月1日申请开通区块链电子发票，税务局收到申请后审批同意。</w:t>
            </w:r>
            <w:r>
              <w:rPr>
                <w:rFonts w:hint="eastAsia" w:ascii="仿宋" w:hAnsi="仿宋" w:eastAsia="仿宋" w:cs="仿宋"/>
                <w:sz w:val="24"/>
                <w:szCs w:val="24"/>
                <w:vertAlign w:val="baseline"/>
                <w:lang w:val="en-US" w:eastAsia="zh-CN"/>
              </w:rPr>
              <w:t>昆腾谷物有限公司</w:t>
            </w:r>
            <w:r>
              <w:rPr>
                <w:rFonts w:hint="eastAsia" w:ascii="仿宋" w:hAnsi="仿宋" w:eastAsia="仿宋" w:cs="仿宋"/>
                <w:color w:val="000000"/>
                <w:sz w:val="24"/>
                <w:szCs w:val="24"/>
                <w:highlight w:val="none"/>
                <w:lang w:val="en-US" w:eastAsia="zh-CN"/>
              </w:rPr>
              <w:t>2023年3月3日申请开通区块链电子发票，税务局收到申请后审批同意。</w:t>
            </w:r>
          </w:p>
          <w:p>
            <w:pPr>
              <w:pStyle w:val="15"/>
              <w:keepNext w:val="0"/>
              <w:keepLines w:val="0"/>
              <w:pageBreakBefore w:val="0"/>
              <w:kinsoku/>
              <w:wordWrap/>
              <w:overflowPunct/>
              <w:topLinePunct w:val="0"/>
              <w:bidi w:val="0"/>
              <w:spacing w:beforeAutospacing="0" w:after="0" w:afterLines="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vertAlign w:val="baseline"/>
                <w:lang w:val="en-US" w:eastAsia="zh-CN"/>
              </w:rPr>
              <w:t>区块链电子发票开通成功后，昆腾谷物有限公司</w:t>
            </w:r>
            <w:r>
              <w:rPr>
                <w:rFonts w:hint="eastAsia" w:ascii="仿宋" w:hAnsi="仿宋" w:eastAsia="仿宋" w:cs="仿宋"/>
                <w:color w:val="000000"/>
                <w:sz w:val="24"/>
                <w:szCs w:val="24"/>
                <w:highlight w:val="none"/>
                <w:lang w:val="en-US" w:eastAsia="zh-CN"/>
              </w:rPr>
              <w:t>首先新增商品信息；2023年3月7日，</w:t>
            </w:r>
            <w:r>
              <w:rPr>
                <w:rFonts w:hint="eastAsia" w:ascii="仿宋" w:hAnsi="仿宋" w:eastAsia="仿宋" w:cs="仿宋"/>
                <w:sz w:val="24"/>
                <w:szCs w:val="24"/>
                <w:vertAlign w:val="baseline"/>
                <w:lang w:val="en-US" w:eastAsia="zh-CN"/>
              </w:rPr>
              <w:t>奥奇食品有限公司</w:t>
            </w:r>
            <w:r>
              <w:rPr>
                <w:rFonts w:hint="eastAsia" w:ascii="仿宋" w:hAnsi="仿宋" w:eastAsia="仿宋" w:cs="仿宋"/>
                <w:color w:val="000000"/>
                <w:sz w:val="24"/>
                <w:szCs w:val="24"/>
                <w:highlight w:val="none"/>
                <w:lang w:val="en-US" w:eastAsia="zh-CN"/>
              </w:rPr>
              <w:t>向</w:t>
            </w:r>
            <w:r>
              <w:rPr>
                <w:rFonts w:hint="eastAsia" w:ascii="仿宋" w:hAnsi="仿宋" w:eastAsia="仿宋" w:cs="仿宋"/>
                <w:sz w:val="24"/>
                <w:szCs w:val="24"/>
                <w:vertAlign w:val="baseline"/>
                <w:lang w:val="en-US" w:eastAsia="zh-CN"/>
              </w:rPr>
              <w:t>昆腾谷物有限公司</w:t>
            </w:r>
            <w:r>
              <w:rPr>
                <w:rFonts w:hint="eastAsia" w:ascii="仿宋" w:hAnsi="仿宋" w:eastAsia="仿宋" w:cs="仿宋"/>
                <w:color w:val="000000"/>
                <w:sz w:val="24"/>
                <w:szCs w:val="24"/>
                <w:highlight w:val="none"/>
                <w:lang w:val="en-US" w:eastAsia="zh-CN"/>
              </w:rPr>
              <w:t>发起1000kg马铃薯、2000kg玉米、1500kg小麦的采购，采购项目命名为“奥奇食品采购项目”，</w:t>
            </w:r>
            <w:r>
              <w:rPr>
                <w:rFonts w:hint="eastAsia" w:ascii="仿宋" w:hAnsi="仿宋" w:eastAsia="仿宋" w:cs="仿宋"/>
                <w:sz w:val="24"/>
                <w:szCs w:val="24"/>
                <w:vertAlign w:val="baseline"/>
                <w:lang w:val="en-US" w:eastAsia="zh-CN"/>
              </w:rPr>
              <w:t>昆腾谷物有限公司</w:t>
            </w:r>
            <w:r>
              <w:rPr>
                <w:rFonts w:hint="eastAsia" w:ascii="仿宋" w:hAnsi="仿宋" w:eastAsia="仿宋" w:cs="仿宋"/>
                <w:color w:val="000000"/>
                <w:sz w:val="24"/>
                <w:szCs w:val="24"/>
                <w:highlight w:val="none"/>
                <w:lang w:val="en-US" w:eastAsia="zh-CN"/>
              </w:rPr>
              <w:t>接受订单。</w:t>
            </w:r>
          </w:p>
          <w:tbl>
            <w:tblPr>
              <w:tblStyle w:val="17"/>
              <w:tblW w:w="7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189"/>
              <w:gridCol w:w="2300"/>
              <w:gridCol w:w="1433"/>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7862"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新增商品信息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sz w:val="24"/>
                      <w:szCs w:val="24"/>
                      <w:lang w:val="en-US" w:eastAsia="zh-CN"/>
                    </w:rPr>
                    <w:t>货物和劳务名称</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sz w:val="24"/>
                      <w:szCs w:val="24"/>
                      <w:lang w:val="en-US" w:eastAsia="zh-CN"/>
                    </w:rPr>
                    <w:t>税收分类名称</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sz w:val="24"/>
                      <w:szCs w:val="24"/>
                      <w:lang w:val="en-US" w:eastAsia="zh-CN"/>
                    </w:rPr>
                    <w:t>税收分类编码</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增值税税率</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单价（元/kg）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zh-CN"/>
                    </w:rPr>
                  </w:pPr>
                  <w:r>
                    <w:rPr>
                      <w:rFonts w:hint="eastAsia" w:ascii="仿宋" w:hAnsi="仿宋" w:eastAsia="仿宋" w:cs="仿宋"/>
                      <w:b w:val="0"/>
                      <w:bCs w:val="0"/>
                      <w:i w:val="0"/>
                      <w:iCs w:val="0"/>
                      <w:color w:val="000000"/>
                      <w:kern w:val="0"/>
                      <w:sz w:val="24"/>
                      <w:szCs w:val="24"/>
                      <w:u w:val="none"/>
                      <w:lang w:val="en-US" w:eastAsia="zh-CN" w:bidi="ar"/>
                    </w:rPr>
                    <w:t>稻谷</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zh-CN"/>
                    </w:rPr>
                  </w:pPr>
                  <w:r>
                    <w:rPr>
                      <w:rFonts w:hint="eastAsia" w:ascii="仿宋" w:hAnsi="仿宋" w:eastAsia="仿宋" w:cs="仿宋"/>
                      <w:b w:val="0"/>
                      <w:bCs w:val="0"/>
                      <w:i w:val="0"/>
                      <w:iCs w:val="0"/>
                      <w:color w:val="000000"/>
                      <w:kern w:val="0"/>
                      <w:sz w:val="24"/>
                      <w:szCs w:val="24"/>
                      <w:u w:val="none"/>
                      <w:lang w:val="en-US" w:eastAsia="zh-CN" w:bidi="ar"/>
                    </w:rPr>
                    <w:t>谷物</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zh-CN"/>
                    </w:rPr>
                  </w:pPr>
                  <w:r>
                    <w:rPr>
                      <w:rFonts w:hint="eastAsia" w:ascii="仿宋" w:hAnsi="仿宋" w:eastAsia="仿宋" w:cs="仿宋"/>
                      <w:b w:val="0"/>
                      <w:bCs w:val="0"/>
                      <w:i w:val="0"/>
                      <w:iCs w:val="0"/>
                      <w:color w:val="000000"/>
                      <w:kern w:val="0"/>
                      <w:sz w:val="24"/>
                      <w:szCs w:val="24"/>
                      <w:u w:val="none"/>
                      <w:lang w:val="en-US" w:eastAsia="zh-CN" w:bidi="ar"/>
                    </w:rPr>
                    <w:t>1010101010000000000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小麦</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谷物</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1010101020000000000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玉米</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谷物</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1010101030000000000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马铃薯</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薯类</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1010102010000000000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大豆</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干豆</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1010104010000000000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62"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绿豆</w:t>
                  </w:r>
                </w:p>
              </w:tc>
              <w:tc>
                <w:tcPr>
                  <w:tcW w:w="11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干豆</w:t>
                  </w:r>
                </w:p>
              </w:tc>
              <w:tc>
                <w:tcPr>
                  <w:tcW w:w="230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0"/>
                      <w:sz w:val="24"/>
                      <w:szCs w:val="24"/>
                      <w:u w:val="none"/>
                      <w:lang w:val="en-US" w:eastAsia="zh-CN" w:bidi="ar"/>
                    </w:rPr>
                    <w:t>1010104020000000000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9%</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10.5</w:t>
                  </w:r>
                </w:p>
              </w:tc>
            </w:tr>
          </w:tbl>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p>
            <w:pPr>
              <w:pStyle w:val="15"/>
              <w:keepNext w:val="0"/>
              <w:keepLines w:val="0"/>
              <w:pageBreakBefore w:val="0"/>
              <w:kinsoku/>
              <w:wordWrap/>
              <w:overflowPunct/>
              <w:topLinePunct w:val="0"/>
              <w:bidi w:val="0"/>
              <w:spacing w:beforeAutospacing="0" w:after="0" w:afterLines="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vertAlign w:val="baseline"/>
                <w:lang w:val="en-US" w:eastAsia="zh-CN"/>
              </w:rPr>
              <w:t>奥奇食品有限公司</w:t>
            </w:r>
            <w:r>
              <w:rPr>
                <w:rFonts w:hint="eastAsia" w:ascii="仿宋" w:hAnsi="仿宋" w:eastAsia="仿宋" w:cs="仿宋"/>
                <w:color w:val="000000"/>
                <w:sz w:val="24"/>
                <w:szCs w:val="24"/>
                <w:highlight w:val="none"/>
                <w:lang w:val="en-US" w:eastAsia="zh-CN"/>
              </w:rPr>
              <w:t>支付货款并申请</w:t>
            </w:r>
            <w:r>
              <w:rPr>
                <w:rFonts w:hint="eastAsia" w:ascii="仿宋" w:hAnsi="仿宋" w:eastAsia="仿宋" w:cs="仿宋"/>
                <w:sz w:val="24"/>
                <w:szCs w:val="24"/>
                <w:vertAlign w:val="baseline"/>
                <w:lang w:val="en-US" w:eastAsia="zh-CN"/>
              </w:rPr>
              <w:t>昆腾谷物有限公司</w:t>
            </w:r>
            <w:r>
              <w:rPr>
                <w:rFonts w:hint="eastAsia" w:ascii="仿宋" w:hAnsi="仿宋" w:eastAsia="仿宋" w:cs="仿宋"/>
                <w:color w:val="000000"/>
                <w:sz w:val="24"/>
                <w:szCs w:val="24"/>
                <w:highlight w:val="none"/>
                <w:lang w:val="en-US" w:eastAsia="zh-CN"/>
              </w:rPr>
              <w:t>开具发票，收票方式为手机接收，</w:t>
            </w:r>
            <w:r>
              <w:rPr>
                <w:rFonts w:hint="eastAsia" w:ascii="仿宋" w:hAnsi="仿宋" w:eastAsia="仿宋" w:cs="仿宋"/>
                <w:sz w:val="24"/>
                <w:szCs w:val="24"/>
                <w:vertAlign w:val="baseline"/>
                <w:lang w:val="en-US" w:eastAsia="zh-CN"/>
              </w:rPr>
              <w:t>昆腾谷物有限公司在2023年3月16日</w:t>
            </w:r>
            <w:r>
              <w:rPr>
                <w:rFonts w:hint="eastAsia" w:ascii="仿宋" w:hAnsi="仿宋" w:eastAsia="仿宋" w:cs="仿宋"/>
                <w:color w:val="000000"/>
                <w:sz w:val="24"/>
                <w:szCs w:val="24"/>
                <w:highlight w:val="none"/>
                <w:lang w:val="en-US" w:eastAsia="zh-CN"/>
              </w:rPr>
              <w:t>根据采购信息开出发票，</w:t>
            </w:r>
            <w:r>
              <w:rPr>
                <w:rFonts w:hint="eastAsia" w:ascii="仿宋" w:hAnsi="仿宋" w:eastAsia="仿宋" w:cs="仿宋"/>
                <w:sz w:val="24"/>
                <w:szCs w:val="24"/>
                <w:vertAlign w:val="baseline"/>
                <w:lang w:val="en-US" w:eastAsia="zh-CN"/>
              </w:rPr>
              <w:t>奥奇食品有限公司</w:t>
            </w:r>
            <w:r>
              <w:rPr>
                <w:rFonts w:hint="eastAsia" w:ascii="仿宋" w:hAnsi="仿宋" w:eastAsia="仿宋" w:cs="仿宋"/>
                <w:color w:val="000000"/>
                <w:sz w:val="24"/>
                <w:szCs w:val="24"/>
                <w:highlight w:val="none"/>
                <w:lang w:val="en-US" w:eastAsia="zh-CN"/>
              </w:rPr>
              <w:t>接收发票。</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sz w:val="24"/>
                <w:szCs w:val="24"/>
                <w:vertAlign w:val="baseline"/>
                <w:lang w:val="en-US" w:eastAsia="zh-CN"/>
              </w:rPr>
              <w:t>奥奇食品有限公司</w:t>
            </w:r>
            <w:r>
              <w:rPr>
                <w:rFonts w:hint="eastAsia" w:ascii="仿宋" w:hAnsi="仿宋" w:eastAsia="仿宋" w:cs="仿宋"/>
                <w:color w:val="000000"/>
                <w:sz w:val="24"/>
                <w:szCs w:val="24"/>
                <w:highlight w:val="none"/>
                <w:lang w:val="en-US" w:eastAsia="zh-CN"/>
              </w:rPr>
              <w:t>和</w:t>
            </w:r>
            <w:r>
              <w:rPr>
                <w:rFonts w:hint="eastAsia" w:ascii="仿宋" w:hAnsi="仿宋" w:eastAsia="仿宋" w:cs="仿宋"/>
                <w:sz w:val="24"/>
                <w:szCs w:val="24"/>
                <w:vertAlign w:val="baseline"/>
                <w:lang w:val="en-US" w:eastAsia="zh-CN"/>
              </w:rPr>
              <w:t>昆腾谷物有限公司于2023年3月31日</w:t>
            </w:r>
            <w:r>
              <w:rPr>
                <w:rFonts w:hint="eastAsia" w:ascii="仿宋" w:hAnsi="仿宋" w:eastAsia="仿宋" w:cs="仿宋"/>
                <w:color w:val="000000"/>
                <w:sz w:val="24"/>
                <w:szCs w:val="24"/>
                <w:highlight w:val="none"/>
                <w:lang w:val="en-US" w:eastAsia="zh-CN"/>
              </w:rPr>
              <w:t>将已开出/已接收的发票入账，税务局接收入账清单。</w:t>
            </w:r>
          </w:p>
          <w:p>
            <w:pPr>
              <w:pStyle w:val="15"/>
              <w:spacing w:after="0" w:line="240" w:lineRule="auto"/>
              <w:ind w:left="0" w:leftChars="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区块链应用-农业供应链</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为保障农产品质量安全，某农产品供应链上下游企业联合引进了一套区块链农产品管理系统，可以在系统上记录农产品生产过程以便于质量审查和农产品溯源；农产品生产企业在春季的生产产品以有机蔬菜为主，2023年4月3日，生产企业在1000亩的“有机蔬菜专用地”大田按每亩十吨有机肥的标准施基肥，并用配合每亩150g</w:t>
            </w:r>
            <w:r>
              <w:rPr>
                <w:rFonts w:hint="eastAsia" w:ascii="仿宋" w:hAnsi="仿宋" w:eastAsia="仿宋" w:cs="仿宋"/>
                <w:sz w:val="24"/>
                <w:szCs w:val="24"/>
                <w:lang w:val="en-US" w:eastAsia="zh-CN"/>
              </w:rPr>
              <w:t>75%百菌清可湿性粉剂、5g</w:t>
            </w:r>
            <w:r>
              <w:rPr>
                <w:rFonts w:hint="eastAsia" w:ascii="仿宋" w:hAnsi="仿宋" w:eastAsia="仿宋" w:cs="仿宋"/>
                <w:sz w:val="24"/>
                <w:szCs w:val="28"/>
              </w:rPr>
              <w:t>吡虫啉</w:t>
            </w:r>
            <w:r>
              <w:rPr>
                <w:rFonts w:hint="eastAsia" w:ascii="仿宋" w:hAnsi="仿宋" w:eastAsia="仿宋" w:cs="仿宋"/>
                <w:b w:val="0"/>
                <w:bCs w:val="0"/>
                <w:color w:val="000000"/>
                <w:sz w:val="24"/>
                <w:szCs w:val="24"/>
                <w:highlight w:val="none"/>
                <w:lang w:val="en-US" w:eastAsia="zh-CN"/>
              </w:rPr>
              <w:t>，二十天后，在该地块播种黄瓜、豇豆各500亩；从播种后需要每周给地块浇水一次，并采用机械作业的方式在作物生长的第十五天、二十五天、五十天分别施用每亩500kg有机肥；生产企业分别在播种后的第六十天采收了18,000,000斤黄瓜，在第九十天采收了1,750,000斤豇豆。</w:t>
            </w:r>
          </w:p>
          <w:p>
            <w:pPr>
              <w:pStyle w:val="15"/>
              <w:spacing w:after="0" w:line="240" w:lineRule="auto"/>
              <w:ind w:left="0" w:leftChars="0" w:firstLine="480"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生产企业完成农产品采收后立即申请了该批次黄瓜和豇豆的有机产品认证和绿色食品认证，农产品质量安全中心审批申请并对农产品进行了抽样检测，确定各项标准在规定范围内后向农产品生产企业颁发了认证证书；生产企业随后把这批黄瓜按五元一斤，豇豆八元一斤的价格发布在交易平台上，分销商企业在对这批农产品进行溯源审核后向生产企业发起了全部购买的订单，生产企业接受订单后向物流公司委托运输，物流公司受理托运后将农产品运往了分销商。</w:t>
            </w:r>
          </w:p>
          <w:p>
            <w:pPr>
              <w:pStyle w:val="14"/>
              <w:keepNext w:val="0"/>
              <w:keepLines w:val="0"/>
              <w:widowControl/>
              <w:suppressLineNumbers w:val="0"/>
              <w:spacing w:before="75" w:beforeAutospacing="0" w:after="75" w:afterAutospacing="0" w:line="240" w:lineRule="auto"/>
              <w:ind w:right="0" w:firstLine="482"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区块链审计-票据</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1.交易链式要求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参与交易中，所有有意愿企业可以参与进来，在共识方面采用选举的方式，持币人选出几个代表节点来运营网络，用专业运行的网络服务器来保证区块链网络的安全和性能，遵循最大化持股人的盈利和网络的效能。在加密上，需要能强抗碰撞和接受密码分析。要求多用户同时使用相同金额进行混币，通过混合服务器对资金的处理，隐藏交易地址，提高了攻击者分析交易内容的难度，保证了用户交易隐私。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2.合约流程说明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（1）赎回式贴现业务在区块链上交易，A开具有一定交易额Y个月到期的承兑汇票给B，由C承兑。若C尚未承兑时，A可撤回出票；若C拒绝承兑时，则出票失败，若C接受承兑时才到B收票；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（2）B又与D产生背书转让交易，当达成交易意向时，B把一定面额的票据转让给D，由D签名判断，若D拒绝签名，则转让失败；若D接受签名，则转让成功；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（3）背书转让成功后，D与E产生赎回式贴现交易，D把票据按一定的利率贴出给E，并对E扣款，扣款成功后交易完成。</w:t>
            </w:r>
          </w:p>
          <w:p>
            <w:pPr>
              <w:pStyle w:val="14"/>
              <w:keepNext w:val="0"/>
              <w:keepLines w:val="0"/>
              <w:widowControl/>
              <w:suppressLineNumbers w:val="0"/>
              <w:spacing w:before="75" w:beforeAutospacing="0" w:after="75" w:afterAutospacing="0" w:line="240" w:lineRule="auto"/>
              <w:ind w:right="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区块链审计-供应链金融</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1.交易链式要求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机构之间联合起在一起参与交易，外部第三方参与进来需要通过申请。节点间无需交换额外的信息便可以达成共识，算法简单，容易实现。在加密方面，需要有良好的加密性能和抗解密能力，同时要求抗碰撞性比较好。在隐私保护上，保护IP地址和详细地址位置的隐蔽，加大被调查人员获取的难度。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2.合约流程说明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（1）供应链金融金票再转让业务在区块链上交易，A给B开出一张具有一定交易额Y个月到期的区块链汇票，若B拒绝签收时，则出票失败，若B接受签收时才为出票成功，B为持有人；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（2）签收成功后，B将票据按一定的利率拿到C转让融资。转让融资失败，B撤回金票转让； </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（3）撤回转让融资后，B将票据按一定的利率拿到D转让融资。转让达成时,对D扣款判断，若扣款失败提示充值，若扣款成功，在交易成功后D为票据最后持有人。</w:t>
            </w:r>
          </w:p>
          <w:p>
            <w:pPr>
              <w:pStyle w:val="14"/>
              <w:keepNext w:val="0"/>
              <w:keepLines w:val="0"/>
              <w:widowControl/>
              <w:numPr>
                <w:ilvl w:val="0"/>
                <w:numId w:val="0"/>
              </w:numPr>
              <w:suppressLineNumbers w:val="0"/>
              <w:spacing w:before="75" w:beforeAutospacing="0" w:after="75" w:afterAutospacing="0" w:line="240" w:lineRule="auto"/>
              <w:ind w:right="0" w:rightChars="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区块链审计-保函</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1.交易链式要求 </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该区块链的写入权限仅掌握在某个人或某个组织手中，数据的访问以及编写等有着十分严格的权限，交易速度很快且交易成本几乎为零，同时具备更好的隐私保障。对于链外者想要进入该区块链必须得到链内权限者的主动约请，否则没有进入的权利。在共识方面新的区块链必须找到一种不同的散列算法，否则就会面临算力攻击，破坏系统需要投入极大的成本，而且永远没有最终性，需要检查点机制来弥补最终性。而在加密算法上拥有良好的加密性能以及抗解密能力，候选算法必须使代码多样性和接受密码分析，且位分布均匀，抗碰撞性好。对于隐私保护协议则在传输协议栈中的应用层进行加密，通过网络路由增加加密互联网的流量用此提高调查人员确定IP地址和详细地理位置的难度。 </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2.合约流程说明 </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（1）保函转让业务在区块链上交易，保函受益人C得到保函后，提出将保函进行转让的申请，并将申请信息发送给系统，系统将受益人C保函转让的签名加密申请发给转让人D处； </w:t>
            </w:r>
          </w:p>
          <w:p>
            <w:pPr>
              <w:pStyle w:val="14"/>
              <w:keepNext w:val="0"/>
              <w:keepLines w:val="0"/>
              <w:widowControl/>
              <w:numPr>
                <w:ilvl w:val="0"/>
                <w:numId w:val="0"/>
              </w:numPr>
              <w:suppressLineNumbers w:val="0"/>
              <w:spacing w:before="75" w:beforeAutospacing="0" w:after="75" w:afterAutospacing="0" w:line="240" w:lineRule="auto"/>
              <w:ind w:right="0" w:righ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（2）转让人D收到保函转让信息后，对信息进行解密处理，确认申请信息真实后同意该申请并反馈给系统，最后确定该保函已转让。</w:t>
            </w:r>
          </w:p>
          <w:p>
            <w:pPr>
              <w:pStyle w:val="14"/>
              <w:keepNext w:val="0"/>
              <w:keepLines w:val="0"/>
              <w:widowControl/>
              <w:numPr>
                <w:ilvl w:val="0"/>
                <w:numId w:val="0"/>
              </w:numPr>
              <w:suppressLineNumbers w:val="0"/>
              <w:spacing w:before="75" w:beforeAutospacing="0" w:after="75" w:afterAutospacing="0" w:line="240" w:lineRule="auto"/>
              <w:ind w:right="0" w:rightChars="0" w:firstLine="482"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区块链审计-债券</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1.交易链式要求     </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 xml:space="preserve"> 在一个自由和公开交易的平台上，无用户授权机制，对参与者没有门槛要求设置，但是运维成本较高，依赖奖励机制，同时交易速度相对较慢。在共识方面该算法就是一种基于消息传递模式的一致性算法，每个节点都执行相同的操作序列。而在加密算法上当密钥固定的情况下，明文和密文在整个输入空间是一一对应的。因此算法的各个部件也都是可逆的，再将各个部件的操作顺序设计成可逆的，密文就能正确的解密了。对于隐私保护协议则是一种在不改变比特币任何协议的情况下，为交易用户提供混合服务保证用户隐私的方案，要求多用户同时使用相同金额进行混币。     </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2.合约流程说明 </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（1）债券发起人A申请发行承销债券，将私钥加密的发行信息发送给系统，系统触发智能合约将申请信息发送给承销商B处；</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（2）承销商B收到系统发过来的加密申请，用公钥进行信息解密，确认信息真实并同意该承销细节时将同意的反馈发送给系统； </w:t>
            </w:r>
          </w:p>
          <w:p>
            <w:pPr>
              <w:pStyle w:val="15"/>
              <w:spacing w:after="0" w:line="240" w:lineRule="auto"/>
              <w:ind w:left="0" w:leftChars="0" w:firstLine="480"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（3）系统收到承销商B的同意承销反馈时，触发智能合约将该债券承销确认激活，并将债券权限放置到申购市场系统中，等待用户申购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7750"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restart"/>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349"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751"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1871"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175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023"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子任务1-1（区块链金融-链设计）</w:t>
            </w:r>
          </w:p>
        </w:tc>
        <w:tc>
          <w:tcPr>
            <w:tcW w:w="1751" w:type="dxa"/>
            <w:gridSpan w:val="2"/>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 w:val="0"/>
                <w:bCs w:val="0"/>
                <w:color w:val="auto"/>
                <w:spacing w:val="-3"/>
                <w:sz w:val="24"/>
                <w:szCs w:val="24"/>
                <w:lang w:val="en-US" w:eastAsia="zh-CN" w:bidi="zh-CN"/>
              </w:rPr>
              <w:t>运用区块链与智能合约技术，完成联盟链的搭建</w:t>
            </w:r>
          </w:p>
        </w:tc>
        <w:tc>
          <w:tcPr>
            <w:tcW w:w="1871" w:type="dxa"/>
            <w:noWrap w:val="0"/>
            <w:vAlign w:val="center"/>
          </w:tcPr>
          <w:p>
            <w:pPr>
              <w:numPr>
                <w:ilvl w:val="0"/>
                <w:numId w:val="0"/>
              </w:num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1.搭建联盟链</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2.邀请节点</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3.冻结节点</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4.广播节点</w:t>
            </w:r>
          </w:p>
          <w:p>
            <w:pPr>
              <w:numPr>
                <w:ilvl w:val="0"/>
                <w:numId w:val="0"/>
              </w:numPr>
              <w:bidi w:val="0"/>
              <w:spacing w:line="240" w:lineRule="auto"/>
              <w:ind w:left="0" w:leftChars="0" w:firstLine="0" w:firstLineChars="0"/>
              <w:rPr>
                <w:rFonts w:hint="eastAsia" w:ascii="仿宋" w:hAnsi="仿宋" w:eastAsia="仿宋" w:cs="仿宋"/>
                <w:kern w:val="2"/>
                <w:sz w:val="24"/>
                <w:szCs w:val="24"/>
                <w:lang w:val="en-US" w:eastAsia="zh-CN" w:bidi="ar-SA"/>
              </w:rPr>
            </w:pPr>
          </w:p>
        </w:tc>
        <w:tc>
          <w:tcPr>
            <w:tcW w:w="17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1.搭建联盟链流程</w:t>
            </w:r>
          </w:p>
          <w:p>
            <w:pPr>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2.邀请、冻结、广播节点流程</w:t>
            </w:r>
          </w:p>
        </w:tc>
        <w:tc>
          <w:tcPr>
            <w:tcW w:w="1023"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子任务2-1（区块链应用-资产证券化）-1</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运用区块链技术完成企业资产证券化信用增级业务</w:t>
            </w:r>
          </w:p>
        </w:tc>
        <w:tc>
          <w:tcPr>
            <w:tcW w:w="1871" w:type="dxa"/>
            <w:noWrap w:val="0"/>
            <w:vAlign w:val="center"/>
          </w:tcPr>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1.创建智能合约</w:t>
            </w:r>
          </w:p>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2.组建企业资产池</w:t>
            </w:r>
          </w:p>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3.设立特殊目的机构SPV</w:t>
            </w:r>
          </w:p>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4.企业资产转移</w:t>
            </w:r>
          </w:p>
          <w:p>
            <w:pPr>
              <w:pStyle w:val="15"/>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5.企业资产支持证券信用增级</w:t>
            </w: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1.信用增级业务流程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2.证券化资产信息</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3.资产证券化计划机构信息</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子任务2-1（区块链应用-资产证券化）-2</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运用区块链技术完成企业资产证券化信用评级、发售证券</w:t>
            </w:r>
          </w:p>
        </w:tc>
        <w:tc>
          <w:tcPr>
            <w:tcW w:w="187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1.信用评级</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2.上传准备阶段资料</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3.上传申报阶段资料</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4.审批资产证券化项目</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5.发售企业资产支持证券</w:t>
            </w: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1.发售企业资产支持证券流程</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2.企业资产证券化申请条件</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子任务2-1（区块链应用-资产证券化）-3</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运用区块链技术完成企业证券化资产价款支付、企业资产池管理、企业资产支持证券清偿</w:t>
            </w:r>
          </w:p>
        </w:tc>
        <w:tc>
          <w:tcPr>
            <w:tcW w:w="187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1.SPV支付向发起人支付购买证券化资产的价款</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2.SPV分配资产所产生的现金流</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3.分配资产池收入剩余资金</w:t>
            </w: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1.企业资产证券化资产价款支付业务流程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2.企业资产池管理业务流程</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3.企业资产支持证券清偿业务流程</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子任务2-2（区块链应用-航空延误、意外险）-1</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运用区块链技术完成航空延误险业务</w:t>
            </w:r>
          </w:p>
        </w:tc>
        <w:tc>
          <w:tcPr>
            <w:tcW w:w="1871" w:type="dxa"/>
            <w:noWrap w:val="0"/>
            <w:vAlign w:val="center"/>
          </w:tcPr>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1.创建智能合约</w:t>
            </w:r>
          </w:p>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2.购买航空延误险</w:t>
            </w:r>
          </w:p>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3.发布航空延误信息</w:t>
            </w:r>
          </w:p>
          <w:p>
            <w:pPr>
              <w:pStyle w:val="15"/>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1.航空延误险业务流程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2.航空延误险投保信息</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3.航班延误信息</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子任务2-2（区块链应用-航空延误、意外险）-2</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运用区块链技术完成航空航意险业务</w:t>
            </w:r>
          </w:p>
        </w:tc>
        <w:tc>
          <w:tcPr>
            <w:tcW w:w="187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1.购买航空意外险</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2.发布航空事故信息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3.申请索赔医疗费用</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4.支付赔偿金</w:t>
            </w: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1.航空意外险业务流程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2.航空意外险投保信息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3.航空事故信息</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4.航空意外险理赔信息</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line="240" w:lineRule="auto"/>
              <w:jc w:val="both"/>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子任务2-3（</w:t>
            </w:r>
            <w:r>
              <w:rPr>
                <w:rFonts w:hint="eastAsia" w:ascii="仿宋" w:hAnsi="仿宋" w:eastAsia="仿宋" w:cs="仿宋"/>
                <w:b w:val="0"/>
                <w:bCs w:val="0"/>
                <w:sz w:val="24"/>
                <w:szCs w:val="24"/>
                <w:lang w:val="en-US" w:eastAsia="zh-CN"/>
              </w:rPr>
              <w:t>区块链应用-电子发票</w:t>
            </w:r>
            <w:r>
              <w:rPr>
                <w:rFonts w:hint="eastAsia" w:ascii="仿宋" w:hAnsi="仿宋" w:eastAsia="仿宋" w:cs="仿宋"/>
                <w:color w:val="000000"/>
                <w:sz w:val="24"/>
                <w:szCs w:val="24"/>
                <w:highlight w:val="none"/>
                <w:lang w:val="en-US" w:eastAsia="zh-CN"/>
              </w:rPr>
              <w:t>）-1</w:t>
            </w:r>
          </w:p>
        </w:tc>
        <w:tc>
          <w:tcPr>
            <w:tcW w:w="1751"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运用区块链技术完成区块链电子发票开通及审批</w:t>
            </w:r>
          </w:p>
        </w:tc>
        <w:tc>
          <w:tcPr>
            <w:tcW w:w="1871"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1.创建智能合约</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2.申请开通区块链电子发票</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3.区块链电子发票审批</w:t>
            </w:r>
          </w:p>
        </w:tc>
        <w:tc>
          <w:tcPr>
            <w:tcW w:w="1756"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1.区块链电子发票开通流程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2.区块链电子发票申请信息</w:t>
            </w:r>
          </w:p>
        </w:tc>
        <w:tc>
          <w:tcPr>
            <w:tcW w:w="102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子任务2-3（</w:t>
            </w:r>
            <w:r>
              <w:rPr>
                <w:rFonts w:hint="eastAsia" w:ascii="仿宋" w:hAnsi="仿宋" w:eastAsia="仿宋" w:cs="仿宋"/>
                <w:b w:val="0"/>
                <w:bCs w:val="0"/>
                <w:sz w:val="24"/>
                <w:szCs w:val="24"/>
                <w:lang w:val="en-US" w:eastAsia="zh-CN"/>
              </w:rPr>
              <w:t>区块链应用-电子发票</w:t>
            </w:r>
            <w:r>
              <w:rPr>
                <w:rFonts w:hint="eastAsia" w:ascii="仿宋" w:hAnsi="仿宋" w:eastAsia="仿宋" w:cs="仿宋"/>
                <w:color w:val="000000"/>
                <w:sz w:val="24"/>
                <w:szCs w:val="24"/>
                <w:highlight w:val="none"/>
                <w:lang w:val="en-US" w:eastAsia="zh-CN"/>
              </w:rPr>
              <w:t>）-2</w:t>
            </w:r>
          </w:p>
        </w:tc>
        <w:tc>
          <w:tcPr>
            <w:tcW w:w="1751"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w:t>
            </w:r>
            <w:r>
              <w:rPr>
                <w:rFonts w:hint="eastAsia" w:ascii="仿宋" w:hAnsi="仿宋" w:eastAsia="仿宋" w:cs="仿宋"/>
                <w:color w:val="000000"/>
                <w:kern w:val="2"/>
                <w:sz w:val="24"/>
                <w:szCs w:val="24"/>
                <w:highlight w:val="none"/>
                <w:lang w:val="en-US" w:eastAsia="zh-CN" w:bidi="ar-SA"/>
              </w:rPr>
              <w:t>完成企业采购及开票</w:t>
            </w:r>
          </w:p>
        </w:tc>
        <w:tc>
          <w:tcPr>
            <w:tcW w:w="1871"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1.新增商品信息</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2.发起采购</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3.接受订单</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4.申请开票</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5.开票</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6.接收发票</w:t>
            </w:r>
          </w:p>
        </w:tc>
        <w:tc>
          <w:tcPr>
            <w:tcW w:w="1756"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1.商品信息</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2.采购流程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3.采购信息</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4.开票流程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5.开票信息</w:t>
            </w:r>
          </w:p>
        </w:tc>
        <w:tc>
          <w:tcPr>
            <w:tcW w:w="102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子任务2-3（</w:t>
            </w:r>
            <w:r>
              <w:rPr>
                <w:rFonts w:hint="eastAsia" w:ascii="仿宋" w:hAnsi="仿宋" w:eastAsia="仿宋" w:cs="仿宋"/>
                <w:b w:val="0"/>
                <w:bCs w:val="0"/>
                <w:sz w:val="24"/>
                <w:szCs w:val="24"/>
                <w:lang w:val="en-US" w:eastAsia="zh-CN"/>
              </w:rPr>
              <w:t>区块链应用-电子发票</w:t>
            </w:r>
            <w:r>
              <w:rPr>
                <w:rFonts w:hint="eastAsia" w:ascii="仿宋" w:hAnsi="仿宋" w:eastAsia="仿宋" w:cs="仿宋"/>
                <w:color w:val="000000"/>
                <w:sz w:val="24"/>
                <w:szCs w:val="24"/>
                <w:highlight w:val="none"/>
                <w:lang w:val="en-US" w:eastAsia="zh-CN"/>
              </w:rPr>
              <w:t>）-3</w:t>
            </w:r>
          </w:p>
        </w:tc>
        <w:tc>
          <w:tcPr>
            <w:tcW w:w="1751"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w:t>
            </w:r>
            <w:r>
              <w:rPr>
                <w:rFonts w:hint="eastAsia" w:ascii="仿宋" w:hAnsi="仿宋" w:eastAsia="仿宋" w:cs="仿宋"/>
                <w:color w:val="000000"/>
                <w:kern w:val="2"/>
                <w:sz w:val="24"/>
                <w:szCs w:val="24"/>
                <w:highlight w:val="none"/>
                <w:lang w:val="en-US" w:eastAsia="zh-CN" w:bidi="ar-SA"/>
              </w:rPr>
              <w:t>完成入账</w:t>
            </w:r>
          </w:p>
        </w:tc>
        <w:tc>
          <w:tcPr>
            <w:tcW w:w="1871"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1.入账</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2.接收入账清单</w:t>
            </w:r>
          </w:p>
        </w:tc>
        <w:tc>
          <w:tcPr>
            <w:tcW w:w="1756"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入账流程</w:t>
            </w:r>
          </w:p>
        </w:tc>
        <w:tc>
          <w:tcPr>
            <w:tcW w:w="102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子任务2-4（区块链应用-农业供应链）-1</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运用区块链技术完成农产品地块信息、播种、农事操作记录上链</w:t>
            </w:r>
          </w:p>
        </w:tc>
        <w:tc>
          <w:tcPr>
            <w:tcW w:w="187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1.创建智能合约</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2.农产品生产企业圈地</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3.添加农事操作</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4.添加种养品种</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5.采收农产品</w:t>
            </w: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1.地块信息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2.农事操作类型信息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3.种养品种信息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4.采收农产品信息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5.农产品生产流程</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子任务2-4（区块链应用-农业供应链）-2</w:t>
            </w:r>
          </w:p>
        </w:tc>
        <w:tc>
          <w:tcPr>
            <w:tcW w:w="1751"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运用区块链技术完成农产品认证、溯源、供应链交易业务</w:t>
            </w:r>
          </w:p>
        </w:tc>
        <w:tc>
          <w:tcPr>
            <w:tcW w:w="187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1.农产品质量安全认证</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2.农产品商品发布</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3.农产品溯源</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4.农产品采购</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5.农产品托运</w:t>
            </w:r>
          </w:p>
        </w:tc>
        <w:tc>
          <w:tcPr>
            <w:tcW w:w="175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1.农产品质量安全认证流程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2.农产品商品发布流程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3.农产品溯源流程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4.农产品采购流程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5.农产品托运流程</w:t>
            </w:r>
          </w:p>
        </w:tc>
        <w:tc>
          <w:tcPr>
            <w:tcW w:w="102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14"/>
              <w:keepNext w:val="0"/>
              <w:keepLines w:val="0"/>
              <w:widowControl/>
              <w:suppressLineNumbers w:val="0"/>
              <w:spacing w:before="75" w:beforeAutospacing="0" w:after="75" w:afterAutospacing="0" w:line="240" w:lineRule="auto"/>
              <w:ind w:right="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子任务3-1（</w:t>
            </w:r>
            <w:r>
              <w:rPr>
                <w:rFonts w:hint="eastAsia" w:ascii="仿宋" w:hAnsi="仿宋" w:eastAsia="仿宋" w:cs="仿宋"/>
                <w:b w:val="0"/>
                <w:bCs w:val="0"/>
                <w:color w:val="000000"/>
                <w:sz w:val="24"/>
                <w:szCs w:val="24"/>
                <w:highlight w:val="none"/>
                <w:lang w:val="en-US" w:eastAsia="zh-CN"/>
              </w:rPr>
              <w:t>区块链审计-票据</w:t>
            </w:r>
            <w:r>
              <w:rPr>
                <w:rFonts w:hint="eastAsia" w:ascii="仿宋" w:hAnsi="仿宋" w:eastAsia="仿宋" w:cs="仿宋"/>
                <w:color w:val="000000"/>
                <w:sz w:val="24"/>
                <w:szCs w:val="24"/>
                <w:highlight w:val="none"/>
                <w:lang w:val="en-US" w:eastAsia="zh-CN"/>
              </w:rPr>
              <w:t>）</w:t>
            </w:r>
          </w:p>
        </w:tc>
        <w:tc>
          <w:tcPr>
            <w:tcW w:w="1751" w:type="dxa"/>
            <w:gridSpan w:val="2"/>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运用区块链技术，完成票据业务链审计</w:t>
            </w:r>
          </w:p>
        </w:tc>
        <w:tc>
          <w:tcPr>
            <w:tcW w:w="1871" w:type="dxa"/>
            <w:noWrap w:val="0"/>
            <w:vAlign w:val="center"/>
          </w:tcPr>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1.票据业务链结构审计</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2.票据业务智能合约审计</w:t>
            </w:r>
          </w:p>
          <w:p>
            <w:pPr>
              <w:numPr>
                <w:ilvl w:val="0"/>
                <w:numId w:val="0"/>
              </w:numPr>
              <w:bidi w:val="0"/>
              <w:spacing w:line="240" w:lineRule="auto"/>
              <w:ind w:left="0" w:lef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3.票据业务代码审计</w:t>
            </w:r>
          </w:p>
        </w:tc>
        <w:tc>
          <w:tcPr>
            <w:tcW w:w="17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sz w:val="24"/>
                <w:szCs w:val="24"/>
                <w:lang w:val="en-US" w:eastAsia="zh-CN"/>
              </w:rPr>
              <w:t>票据业务</w:t>
            </w:r>
            <w:r>
              <w:rPr>
                <w:rFonts w:hint="eastAsia" w:ascii="仿宋" w:hAnsi="仿宋" w:eastAsia="仿宋" w:cs="仿宋"/>
                <w:color w:val="000000"/>
                <w:sz w:val="24"/>
                <w:szCs w:val="24"/>
                <w:highlight w:val="none"/>
                <w:lang w:val="en-US" w:eastAsia="zh-CN"/>
              </w:rPr>
              <w:t>链结构信息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sz w:val="24"/>
                <w:szCs w:val="24"/>
                <w:lang w:val="en-US" w:eastAsia="zh-CN"/>
              </w:rPr>
              <w:t>票据业务</w:t>
            </w:r>
            <w:r>
              <w:rPr>
                <w:rFonts w:hint="eastAsia" w:ascii="仿宋" w:hAnsi="仿宋" w:eastAsia="仿宋" w:cs="仿宋"/>
                <w:color w:val="000000"/>
                <w:sz w:val="24"/>
                <w:szCs w:val="24"/>
                <w:highlight w:val="none"/>
                <w:lang w:val="en-US" w:eastAsia="zh-CN"/>
              </w:rPr>
              <w:t>智能合约信息</w:t>
            </w:r>
          </w:p>
          <w:p>
            <w:pPr>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sz w:val="24"/>
                <w:szCs w:val="24"/>
                <w:lang w:val="en-US" w:eastAsia="zh-CN"/>
              </w:rPr>
              <w:t>票据业务</w:t>
            </w:r>
            <w:r>
              <w:rPr>
                <w:rFonts w:hint="eastAsia" w:ascii="仿宋" w:hAnsi="仿宋" w:eastAsia="仿宋" w:cs="仿宋"/>
                <w:color w:val="000000"/>
                <w:sz w:val="24"/>
                <w:szCs w:val="24"/>
                <w:highlight w:val="none"/>
                <w:lang w:val="en-US" w:eastAsia="zh-CN"/>
              </w:rPr>
              <w:t>代码信息</w:t>
            </w:r>
          </w:p>
        </w:tc>
        <w:tc>
          <w:tcPr>
            <w:tcW w:w="1023"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子任务3-2（</w:t>
            </w:r>
            <w:r>
              <w:rPr>
                <w:rFonts w:hint="eastAsia" w:ascii="仿宋" w:hAnsi="仿宋" w:eastAsia="仿宋" w:cs="仿宋"/>
                <w:b w:val="0"/>
                <w:bCs w:val="0"/>
                <w:color w:val="000000"/>
                <w:sz w:val="24"/>
                <w:szCs w:val="24"/>
                <w:highlight w:val="none"/>
                <w:lang w:val="en-US" w:eastAsia="zh-CN"/>
              </w:rPr>
              <w:t>区块链审计-供应链</w:t>
            </w:r>
            <w:r>
              <w:rPr>
                <w:rFonts w:hint="eastAsia" w:ascii="仿宋" w:hAnsi="仿宋" w:eastAsia="仿宋" w:cs="仿宋"/>
                <w:color w:val="000000"/>
                <w:sz w:val="24"/>
                <w:szCs w:val="24"/>
                <w:highlight w:val="none"/>
                <w:lang w:val="en-US" w:eastAsia="zh-CN"/>
              </w:rPr>
              <w:t>金融）</w:t>
            </w:r>
          </w:p>
        </w:tc>
        <w:tc>
          <w:tcPr>
            <w:tcW w:w="1751" w:type="dxa"/>
            <w:gridSpan w:val="2"/>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运用区块链技术，完成供应链金融业务链审计</w:t>
            </w:r>
          </w:p>
        </w:tc>
        <w:tc>
          <w:tcPr>
            <w:tcW w:w="1871" w:type="dxa"/>
            <w:noWrap w:val="0"/>
            <w:vAlign w:val="center"/>
          </w:tcPr>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color w:val="000000"/>
                <w:sz w:val="24"/>
                <w:szCs w:val="24"/>
                <w:highlight w:val="none"/>
                <w:lang w:val="en-US" w:eastAsia="zh-CN"/>
              </w:rPr>
              <w:t>供应链金融</w:t>
            </w:r>
            <w:r>
              <w:rPr>
                <w:rFonts w:hint="eastAsia" w:ascii="仿宋" w:hAnsi="仿宋" w:eastAsia="仿宋" w:cs="仿宋"/>
                <w:sz w:val="24"/>
                <w:szCs w:val="24"/>
                <w:lang w:val="en-US" w:eastAsia="zh-CN"/>
              </w:rPr>
              <w:t>业务链结构审计</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color w:val="000000"/>
                <w:sz w:val="24"/>
                <w:szCs w:val="24"/>
                <w:highlight w:val="none"/>
                <w:lang w:val="en-US" w:eastAsia="zh-CN"/>
              </w:rPr>
              <w:t>供应链金融</w:t>
            </w:r>
            <w:r>
              <w:rPr>
                <w:rFonts w:hint="eastAsia" w:ascii="仿宋" w:hAnsi="仿宋" w:eastAsia="仿宋" w:cs="仿宋"/>
                <w:sz w:val="24"/>
                <w:szCs w:val="24"/>
                <w:lang w:val="en-US" w:eastAsia="zh-CN"/>
              </w:rPr>
              <w:t>业务智能合约审计</w:t>
            </w:r>
          </w:p>
          <w:p>
            <w:pPr>
              <w:numPr>
                <w:ilvl w:val="0"/>
                <w:numId w:val="0"/>
              </w:numPr>
              <w:bidi w:val="0"/>
              <w:spacing w:line="240" w:lineRule="auto"/>
              <w:ind w:left="0" w:leftChars="0" w:firstLine="0" w:firstLineChars="0"/>
              <w:rPr>
                <w:rFonts w:hint="eastAsia" w:ascii="仿宋" w:hAnsi="仿宋" w:eastAsia="仿宋" w:cs="仿宋"/>
                <w:kern w:val="2"/>
                <w:sz w:val="24"/>
                <w:szCs w:val="24"/>
                <w:lang w:val="en-US" w:eastAsia="zh-CN" w:bidi="zh-CN"/>
              </w:rPr>
            </w:pPr>
            <w:r>
              <w:rPr>
                <w:rFonts w:hint="eastAsia" w:ascii="仿宋" w:hAnsi="仿宋" w:eastAsia="仿宋" w:cs="仿宋"/>
                <w:sz w:val="24"/>
                <w:szCs w:val="24"/>
                <w:lang w:val="en-US" w:eastAsia="zh-CN"/>
              </w:rPr>
              <w:t>3.</w:t>
            </w:r>
            <w:r>
              <w:rPr>
                <w:rFonts w:hint="eastAsia" w:ascii="仿宋" w:hAnsi="仿宋" w:eastAsia="仿宋" w:cs="仿宋"/>
                <w:color w:val="000000"/>
                <w:sz w:val="24"/>
                <w:szCs w:val="24"/>
                <w:highlight w:val="none"/>
                <w:lang w:val="en-US" w:eastAsia="zh-CN"/>
              </w:rPr>
              <w:t>供应链金融</w:t>
            </w:r>
            <w:r>
              <w:rPr>
                <w:rFonts w:hint="eastAsia" w:ascii="仿宋" w:hAnsi="仿宋" w:eastAsia="仿宋" w:cs="仿宋"/>
                <w:sz w:val="24"/>
                <w:szCs w:val="24"/>
                <w:lang w:val="en-US" w:eastAsia="zh-CN"/>
              </w:rPr>
              <w:t>业务代码审计</w:t>
            </w:r>
          </w:p>
        </w:tc>
        <w:tc>
          <w:tcPr>
            <w:tcW w:w="17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1.供应链金融</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链结构信息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2.供应链金融</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智能合约信息</w:t>
            </w:r>
          </w:p>
          <w:p>
            <w:pPr>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zh-CN"/>
              </w:rPr>
            </w:pPr>
            <w:r>
              <w:rPr>
                <w:rFonts w:hint="eastAsia" w:ascii="仿宋" w:hAnsi="仿宋" w:eastAsia="仿宋" w:cs="仿宋"/>
                <w:color w:val="000000"/>
                <w:sz w:val="24"/>
                <w:szCs w:val="24"/>
                <w:highlight w:val="none"/>
                <w:lang w:val="en-US" w:eastAsia="zh-CN"/>
              </w:rPr>
              <w:t>3.供应链金融</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代码信息</w:t>
            </w:r>
          </w:p>
        </w:tc>
        <w:tc>
          <w:tcPr>
            <w:tcW w:w="1023"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子任务3-3（</w:t>
            </w:r>
            <w:r>
              <w:rPr>
                <w:rFonts w:hint="eastAsia" w:ascii="仿宋" w:hAnsi="仿宋" w:eastAsia="仿宋" w:cs="仿宋"/>
                <w:b w:val="0"/>
                <w:bCs w:val="0"/>
                <w:color w:val="000000"/>
                <w:sz w:val="24"/>
                <w:szCs w:val="24"/>
                <w:highlight w:val="none"/>
                <w:lang w:val="en-US" w:eastAsia="zh-CN"/>
              </w:rPr>
              <w:t>区块链审计-保函）</w:t>
            </w:r>
          </w:p>
        </w:tc>
        <w:tc>
          <w:tcPr>
            <w:tcW w:w="1751" w:type="dxa"/>
            <w:gridSpan w:val="2"/>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运用区块链技术，完成保函业务链审计</w:t>
            </w:r>
          </w:p>
        </w:tc>
        <w:tc>
          <w:tcPr>
            <w:tcW w:w="1871" w:type="dxa"/>
            <w:noWrap w:val="0"/>
            <w:vAlign w:val="center"/>
          </w:tcPr>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color w:val="000000"/>
                <w:sz w:val="24"/>
                <w:szCs w:val="24"/>
                <w:highlight w:val="none"/>
                <w:lang w:val="en-US" w:eastAsia="zh-CN"/>
              </w:rPr>
              <w:t>保函</w:t>
            </w:r>
            <w:r>
              <w:rPr>
                <w:rFonts w:hint="eastAsia" w:ascii="仿宋" w:hAnsi="仿宋" w:eastAsia="仿宋" w:cs="仿宋"/>
                <w:sz w:val="24"/>
                <w:szCs w:val="24"/>
                <w:lang w:val="en-US" w:eastAsia="zh-CN"/>
              </w:rPr>
              <w:t>业务链结构审计</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color w:val="000000"/>
                <w:sz w:val="24"/>
                <w:szCs w:val="24"/>
                <w:highlight w:val="none"/>
                <w:lang w:val="en-US" w:eastAsia="zh-CN"/>
              </w:rPr>
              <w:t>保函</w:t>
            </w:r>
            <w:r>
              <w:rPr>
                <w:rFonts w:hint="eastAsia" w:ascii="仿宋" w:hAnsi="仿宋" w:eastAsia="仿宋" w:cs="仿宋"/>
                <w:sz w:val="24"/>
                <w:szCs w:val="24"/>
                <w:lang w:val="en-US" w:eastAsia="zh-CN"/>
              </w:rPr>
              <w:t>业务智能合约审计</w:t>
            </w:r>
          </w:p>
          <w:p>
            <w:pPr>
              <w:numPr>
                <w:ilvl w:val="0"/>
                <w:numId w:val="0"/>
              </w:numPr>
              <w:bidi w:val="0"/>
              <w:spacing w:line="240" w:lineRule="auto"/>
              <w:ind w:left="0" w:leftChars="0" w:firstLine="0" w:firstLineChars="0"/>
              <w:rPr>
                <w:rFonts w:hint="eastAsia" w:ascii="仿宋" w:hAnsi="仿宋" w:eastAsia="仿宋" w:cs="仿宋"/>
                <w:kern w:val="2"/>
                <w:sz w:val="24"/>
                <w:szCs w:val="24"/>
                <w:lang w:val="en-US" w:eastAsia="zh-CN" w:bidi="zh-CN"/>
              </w:rPr>
            </w:pPr>
            <w:r>
              <w:rPr>
                <w:rFonts w:hint="eastAsia" w:ascii="仿宋" w:hAnsi="仿宋" w:eastAsia="仿宋" w:cs="仿宋"/>
                <w:sz w:val="24"/>
                <w:szCs w:val="24"/>
                <w:lang w:val="en-US" w:eastAsia="zh-CN"/>
              </w:rPr>
              <w:t>3.</w:t>
            </w:r>
            <w:r>
              <w:rPr>
                <w:rFonts w:hint="eastAsia" w:ascii="仿宋" w:hAnsi="仿宋" w:eastAsia="仿宋" w:cs="仿宋"/>
                <w:color w:val="000000"/>
                <w:sz w:val="24"/>
                <w:szCs w:val="24"/>
                <w:highlight w:val="none"/>
                <w:lang w:val="en-US" w:eastAsia="zh-CN"/>
              </w:rPr>
              <w:t>保函</w:t>
            </w:r>
            <w:r>
              <w:rPr>
                <w:rFonts w:hint="eastAsia" w:ascii="仿宋" w:hAnsi="仿宋" w:eastAsia="仿宋" w:cs="仿宋"/>
                <w:sz w:val="24"/>
                <w:szCs w:val="24"/>
                <w:lang w:val="en-US" w:eastAsia="zh-CN"/>
              </w:rPr>
              <w:t>业务代码审计</w:t>
            </w:r>
          </w:p>
        </w:tc>
        <w:tc>
          <w:tcPr>
            <w:tcW w:w="17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1.保函</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链结构信息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2.保函</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智能合约信息</w:t>
            </w:r>
          </w:p>
          <w:p>
            <w:pPr>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zh-CN"/>
              </w:rPr>
            </w:pPr>
            <w:r>
              <w:rPr>
                <w:rFonts w:hint="eastAsia" w:ascii="仿宋" w:hAnsi="仿宋" w:eastAsia="仿宋" w:cs="仿宋"/>
                <w:color w:val="000000"/>
                <w:sz w:val="24"/>
                <w:szCs w:val="24"/>
                <w:highlight w:val="none"/>
                <w:lang w:val="en-US" w:eastAsia="zh-CN"/>
              </w:rPr>
              <w:t>3.保函</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代码信息</w:t>
            </w:r>
          </w:p>
        </w:tc>
        <w:tc>
          <w:tcPr>
            <w:tcW w:w="1023"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子任务3-4（</w:t>
            </w:r>
            <w:r>
              <w:rPr>
                <w:rFonts w:hint="eastAsia" w:ascii="仿宋" w:hAnsi="仿宋" w:eastAsia="仿宋" w:cs="仿宋"/>
                <w:b w:val="0"/>
                <w:bCs w:val="0"/>
                <w:color w:val="000000"/>
                <w:sz w:val="24"/>
                <w:szCs w:val="24"/>
                <w:highlight w:val="none"/>
                <w:lang w:val="en-US" w:eastAsia="zh-CN"/>
              </w:rPr>
              <w:t>区块链审计-债券）</w:t>
            </w:r>
          </w:p>
        </w:tc>
        <w:tc>
          <w:tcPr>
            <w:tcW w:w="1751" w:type="dxa"/>
            <w:gridSpan w:val="2"/>
            <w:noWrap w:val="0"/>
            <w:vAlign w:val="center"/>
          </w:tcPr>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运用区块链技术，完成债券业务链审计</w:t>
            </w:r>
          </w:p>
        </w:tc>
        <w:tc>
          <w:tcPr>
            <w:tcW w:w="1871" w:type="dxa"/>
            <w:noWrap w:val="0"/>
            <w:vAlign w:val="center"/>
          </w:tcPr>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color w:val="000000"/>
                <w:sz w:val="24"/>
                <w:szCs w:val="24"/>
                <w:highlight w:val="none"/>
                <w:lang w:val="en-US" w:eastAsia="zh-CN"/>
              </w:rPr>
              <w:t>债券</w:t>
            </w:r>
            <w:r>
              <w:rPr>
                <w:rFonts w:hint="eastAsia" w:ascii="仿宋" w:hAnsi="仿宋" w:eastAsia="仿宋" w:cs="仿宋"/>
                <w:sz w:val="24"/>
                <w:szCs w:val="24"/>
                <w:lang w:val="en-US" w:eastAsia="zh-CN"/>
              </w:rPr>
              <w:t>业务链结构审计</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color w:val="000000"/>
                <w:sz w:val="24"/>
                <w:szCs w:val="24"/>
                <w:highlight w:val="none"/>
                <w:lang w:val="en-US" w:eastAsia="zh-CN"/>
              </w:rPr>
              <w:t>债券</w:t>
            </w:r>
            <w:r>
              <w:rPr>
                <w:rFonts w:hint="eastAsia" w:ascii="仿宋" w:hAnsi="仿宋" w:eastAsia="仿宋" w:cs="仿宋"/>
                <w:sz w:val="24"/>
                <w:szCs w:val="24"/>
                <w:lang w:val="en-US" w:eastAsia="zh-CN"/>
              </w:rPr>
              <w:t>业务智能合约审计</w:t>
            </w:r>
          </w:p>
          <w:p>
            <w:pPr>
              <w:numPr>
                <w:ilvl w:val="0"/>
                <w:numId w:val="0"/>
              </w:numPr>
              <w:bidi w:val="0"/>
              <w:spacing w:line="240" w:lineRule="auto"/>
              <w:ind w:left="0" w:leftChars="0" w:firstLine="0" w:firstLineChars="0"/>
              <w:rPr>
                <w:rFonts w:hint="eastAsia" w:ascii="仿宋" w:hAnsi="仿宋" w:eastAsia="仿宋" w:cs="仿宋"/>
                <w:kern w:val="2"/>
                <w:sz w:val="24"/>
                <w:szCs w:val="24"/>
                <w:lang w:val="en-US" w:eastAsia="zh-CN" w:bidi="zh-CN"/>
              </w:rPr>
            </w:pPr>
            <w:r>
              <w:rPr>
                <w:rFonts w:hint="eastAsia" w:ascii="仿宋" w:hAnsi="仿宋" w:eastAsia="仿宋" w:cs="仿宋"/>
                <w:sz w:val="24"/>
                <w:szCs w:val="24"/>
                <w:lang w:val="en-US" w:eastAsia="zh-CN"/>
              </w:rPr>
              <w:t>3.</w:t>
            </w:r>
            <w:r>
              <w:rPr>
                <w:rFonts w:hint="eastAsia" w:ascii="仿宋" w:hAnsi="仿宋" w:eastAsia="仿宋" w:cs="仿宋"/>
                <w:color w:val="000000"/>
                <w:sz w:val="24"/>
                <w:szCs w:val="24"/>
                <w:highlight w:val="none"/>
                <w:lang w:val="en-US" w:eastAsia="zh-CN"/>
              </w:rPr>
              <w:t>债券</w:t>
            </w:r>
            <w:r>
              <w:rPr>
                <w:rFonts w:hint="eastAsia" w:ascii="仿宋" w:hAnsi="仿宋" w:eastAsia="仿宋" w:cs="仿宋"/>
                <w:sz w:val="24"/>
                <w:szCs w:val="24"/>
                <w:lang w:val="en-US" w:eastAsia="zh-CN"/>
              </w:rPr>
              <w:t>业务代码审计</w:t>
            </w:r>
          </w:p>
        </w:tc>
        <w:tc>
          <w:tcPr>
            <w:tcW w:w="17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1.债券</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链结构信息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2.债券</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智能合约信息</w:t>
            </w:r>
          </w:p>
          <w:p>
            <w:pPr>
              <w:numPr>
                <w:ilvl w:val="0"/>
                <w:numId w:val="0"/>
              </w:num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zh-CN"/>
              </w:rPr>
            </w:pPr>
            <w:r>
              <w:rPr>
                <w:rFonts w:hint="eastAsia" w:ascii="仿宋" w:hAnsi="仿宋" w:eastAsia="仿宋" w:cs="仿宋"/>
                <w:color w:val="000000"/>
                <w:sz w:val="24"/>
                <w:szCs w:val="24"/>
                <w:highlight w:val="none"/>
                <w:lang w:val="en-US" w:eastAsia="zh-CN"/>
              </w:rPr>
              <w:t>3.债券</w:t>
            </w:r>
            <w:r>
              <w:rPr>
                <w:rFonts w:hint="eastAsia" w:ascii="仿宋" w:hAnsi="仿宋" w:eastAsia="仿宋" w:cs="仿宋"/>
                <w:sz w:val="24"/>
                <w:szCs w:val="24"/>
                <w:lang w:val="en-US" w:eastAsia="zh-CN"/>
              </w:rPr>
              <w:t>业务</w:t>
            </w:r>
            <w:r>
              <w:rPr>
                <w:rFonts w:hint="eastAsia" w:ascii="仿宋" w:hAnsi="仿宋" w:eastAsia="仿宋" w:cs="仿宋"/>
                <w:color w:val="000000"/>
                <w:sz w:val="24"/>
                <w:szCs w:val="24"/>
                <w:highlight w:val="none"/>
                <w:lang w:val="en-US" w:eastAsia="zh-CN"/>
              </w:rPr>
              <w:t>代码信息</w:t>
            </w:r>
          </w:p>
        </w:tc>
        <w:tc>
          <w:tcPr>
            <w:tcW w:w="1023"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49"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751" w:type="dxa"/>
            <w:gridSpan w:val="2"/>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highlight w:val="none"/>
              </w:rPr>
              <w:t>更多样题详见题库素材包</w:t>
            </w:r>
          </w:p>
        </w:tc>
        <w:tc>
          <w:tcPr>
            <w:tcW w:w="1871" w:type="dxa"/>
            <w:noWrap w:val="0"/>
            <w:vAlign w:val="center"/>
          </w:tcPr>
          <w:p>
            <w:pPr>
              <w:jc w:val="center"/>
              <w:rPr>
                <w:rFonts w:hint="eastAsia" w:ascii="仿宋" w:hAnsi="仿宋" w:eastAsia="仿宋" w:cs="仿宋"/>
                <w:sz w:val="24"/>
                <w:szCs w:val="24"/>
                <w:lang w:val="en-US" w:eastAsia="zh-CN"/>
              </w:rPr>
            </w:pPr>
            <w:r>
              <w:rPr>
                <w:rFonts w:hint="eastAsia" w:ascii="仿宋_GB2312" w:eastAsia="仿宋_GB2312"/>
                <w:sz w:val="24"/>
                <w:szCs w:val="24"/>
              </w:rPr>
              <w:t>......</w:t>
            </w:r>
          </w:p>
        </w:tc>
        <w:tc>
          <w:tcPr>
            <w:tcW w:w="1756" w:type="dxa"/>
            <w:noWrap w:val="0"/>
            <w:vAlign w:val="center"/>
          </w:tcPr>
          <w:p>
            <w:pPr>
              <w:numPr>
                <w:ilvl w:val="0"/>
                <w:numId w:val="0"/>
              </w:numPr>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c>
          <w:tcPr>
            <w:tcW w:w="1023"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4" w:type="dxa"/>
            <w:vMerge w:val="restart"/>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1860"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5890" w:type="dxa"/>
            <w:gridSpan w:val="4"/>
            <w:noWrap w:val="0"/>
            <w:vAlign w:val="center"/>
          </w:tcPr>
          <w:p>
            <w:pPr>
              <w:pStyle w:val="15"/>
              <w:numPr>
                <w:ilvl w:val="0"/>
                <w:numId w:val="0"/>
              </w:numPr>
              <w:spacing w:after="0" w:line="240" w:lineRule="auto"/>
              <w:ind w:leftChars="0"/>
              <w:jc w:val="both"/>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区块链搭链、智能合约编写的能力；</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适应现代金融业的新知识、新技术、新方法、新应用的能力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860"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5890" w:type="dxa"/>
            <w:gridSpan w:val="4"/>
            <w:noWrap w:val="0"/>
            <w:vAlign w:val="center"/>
          </w:tcPr>
          <w:p>
            <w:pPr>
              <w:pStyle w:val="15"/>
              <w:numPr>
                <w:ilvl w:val="0"/>
                <w:numId w:val="0"/>
              </w:numPr>
              <w:spacing w:after="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JR/T 0193-2020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区块链技术金融应用 评估规则</w:t>
            </w:r>
          </w:p>
          <w:p>
            <w:pPr>
              <w:pStyle w:val="15"/>
              <w:numPr>
                <w:ilvl w:val="0"/>
                <w:numId w:val="0"/>
              </w:numPr>
              <w:spacing w:after="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JR/T 0074-2012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保险业IT服务管理基本规范</w:t>
            </w:r>
          </w:p>
          <w:p>
            <w:pPr>
              <w:pStyle w:val="15"/>
              <w:numPr>
                <w:ilvl w:val="0"/>
                <w:numId w:val="0"/>
              </w:numPr>
              <w:spacing w:after="0" w:line="240" w:lineRule="auto"/>
              <w:ind w:leftChars="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NY/T 1993-2011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农产品质量安全追溯操作规程 通则</w:t>
            </w:r>
          </w:p>
          <w:p>
            <w:pPr>
              <w:pStyle w:val="15"/>
              <w:numPr>
                <w:ilvl w:val="0"/>
                <w:numId w:val="0"/>
              </w:numPr>
              <w:spacing w:after="0"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4.职业编码  </w:t>
            </w:r>
            <w:r>
              <w:rPr>
                <w:rFonts w:hint="eastAsia" w:ascii="仿宋" w:hAnsi="仿宋" w:eastAsia="仿宋" w:cs="仿宋"/>
                <w:sz w:val="24"/>
                <w:szCs w:val="24"/>
              </w:rPr>
              <w:t>4-04-05-06</w:t>
            </w:r>
            <w:r>
              <w:rPr>
                <w:rFonts w:hint="eastAsia" w:ascii="仿宋" w:hAnsi="仿宋" w:eastAsia="仿宋" w:cs="仿宋"/>
                <w:sz w:val="24"/>
                <w:szCs w:val="24"/>
                <w:lang w:val="en-US" w:eastAsia="zh-CN"/>
              </w:rPr>
              <w:t xml:space="preserve">  区块链应用操作员国家职业标准</w:t>
            </w:r>
          </w:p>
          <w:p>
            <w:pPr>
              <w:pStyle w:val="15"/>
              <w:numPr>
                <w:ilvl w:val="0"/>
                <w:numId w:val="0"/>
              </w:numPr>
              <w:spacing w:after="0" w:line="240" w:lineRule="auto"/>
              <w:ind w:leftChars="0"/>
              <w:rPr>
                <w:rFonts w:hint="default" w:ascii="宋体" w:hAnsi="宋体" w:cs="宋体"/>
                <w:sz w:val="24"/>
                <w:szCs w:val="24"/>
                <w:lang w:val="en-US" w:eastAsia="zh-CN"/>
              </w:rPr>
            </w:pPr>
            <w:r>
              <w:rPr>
                <w:rFonts w:hint="eastAsia" w:ascii="仿宋" w:hAnsi="仿宋" w:eastAsia="仿宋" w:cs="仿宋"/>
                <w:sz w:val="24"/>
                <w:szCs w:val="24"/>
                <w:lang w:val="en-US" w:eastAsia="zh-CN"/>
              </w:rPr>
              <w:t xml:space="preserve">5.职业编码  </w:t>
            </w:r>
            <w:r>
              <w:rPr>
                <w:rFonts w:hint="eastAsia" w:ascii="仿宋" w:hAnsi="仿宋" w:eastAsia="仿宋" w:cs="仿宋"/>
                <w:sz w:val="24"/>
                <w:szCs w:val="24"/>
              </w:rPr>
              <w:t>2-02-10-15</w:t>
            </w:r>
            <w:r>
              <w:rPr>
                <w:rFonts w:hint="eastAsia" w:ascii="仿宋" w:hAnsi="仿宋" w:eastAsia="仿宋" w:cs="仿宋"/>
                <w:sz w:val="24"/>
                <w:szCs w:val="24"/>
                <w:lang w:val="en-US" w:eastAsia="zh-CN"/>
              </w:rPr>
              <w:t xml:space="preserve">  区块链工程技术人员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7750"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24"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7750"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pStyle w:val="15"/>
        <w:spacing w:line="240" w:lineRule="auto"/>
        <w:rPr>
          <w:rFonts w:hint="eastAsia" w:ascii="仿宋" w:hAnsi="仿宋" w:eastAsia="仿宋" w:cs="仿宋"/>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color w:val="auto"/>
          <w:sz w:val="28"/>
          <w:szCs w:val="28"/>
          <w:highlight w:val="none"/>
          <w:lang w:val="en-US" w:eastAsia="zh-CN" w:bidi="zh-CN"/>
        </w:rPr>
        <w:t>3.</w:t>
      </w:r>
      <w:r>
        <w:rPr>
          <w:rFonts w:hint="default" w:ascii="仿宋_GB2312" w:hAnsi="仿宋_GB2312" w:eastAsia="仿宋_GB2312" w:cs="仿宋_GB2312"/>
          <w:b/>
          <w:bCs/>
          <w:color w:val="auto"/>
          <w:sz w:val="28"/>
          <w:szCs w:val="28"/>
          <w:highlight w:val="none"/>
          <w:lang w:val="en-US" w:eastAsia="zh-CN"/>
        </w:rPr>
        <w:t>支付业务数字化</w:t>
      </w:r>
    </w:p>
    <w:tbl>
      <w:tblPr>
        <w:tblStyle w:val="1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952"/>
        <w:gridCol w:w="767"/>
        <w:gridCol w:w="755"/>
        <w:gridCol w:w="2156"/>
        <w:gridCol w:w="2000"/>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1719"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模块3</w:t>
            </w:r>
          </w:p>
        </w:tc>
        <w:tc>
          <w:tcPr>
            <w:tcW w:w="2911" w:type="dxa"/>
            <w:gridSpan w:val="2"/>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3226" w:type="dxa"/>
            <w:gridSpan w:val="2"/>
            <w:noWrap w:val="0"/>
            <w:vAlign w:val="center"/>
          </w:tcPr>
          <w:p>
            <w:pPr>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1719"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支付业务数字化</w:t>
            </w:r>
          </w:p>
        </w:tc>
        <w:tc>
          <w:tcPr>
            <w:tcW w:w="2911" w:type="dxa"/>
            <w:gridSpan w:val="2"/>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3226" w:type="dxa"/>
            <w:gridSpan w:val="2"/>
            <w:noWrap w:val="0"/>
            <w:vAlign w:val="center"/>
          </w:tcPr>
          <w:p>
            <w:pPr>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7856"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7856" w:type="dxa"/>
            <w:gridSpan w:val="6"/>
            <w:noWrap w:val="0"/>
            <w:vAlign w:val="center"/>
          </w:tcPr>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近年来，数字人民币在各个城市逐渐开展试点工作，围绕试点工作“拓面增量”，持续加快数字人民币应用场景建设，推动数字人民币产业新发展，发展高质量服务数字建设。中国人民银行近期准备添加一个数字人民币发行计划，在2023年3月21日制定计划，2023年4月1日发行，计划名称为“2023年数字人民币发行计划”，规划年度货币供应量为10000000元，并规定由中国银行和中国建设银行分别缴纳5000000元准备金。该计划在国务院审批通过后，随即中国人民银行为该计划生成数字人民币，根据生成数字人民币的货币量，去发行数字人民币。</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中国人民银行为该计划发行数字人民币之后，之前向该计划缴纳准备金的银行可以向中国人民银行兑换数字人民币，中国银行和中国建设银行的兑换金额分别为5000000元。中国银行和中国建设银行都开发了二类级别的钱包，个人可以申请开户，开户成功后再申请数字人民币钱包。随后，张明向中国银行以远程认证的方式申请了二类级别的钱包，并设置钱包账户名称为“张明二类数字人民币钱包”，并先给钱包充值8000元。</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蓝旗实业有限公司法人</w:t>
            </w:r>
            <w:r>
              <w:rPr>
                <w:rFonts w:hint="eastAsia" w:ascii="仿宋" w:hAnsi="仿宋" w:eastAsia="仿宋" w:cs="仿宋"/>
                <w:b w:val="0"/>
                <w:bCs w:val="0"/>
                <w:sz w:val="24"/>
                <w:szCs w:val="24"/>
                <w:highlight w:val="none"/>
                <w:lang w:val="en-US" w:eastAsia="zh-CN"/>
              </w:rPr>
              <w:t>林亮发现数字人民币支付方式逐渐占据市场，</w:t>
            </w:r>
            <w:r>
              <w:rPr>
                <w:rFonts w:hint="eastAsia" w:ascii="仿宋" w:hAnsi="仿宋" w:eastAsia="仿宋" w:cs="仿宋"/>
                <w:sz w:val="24"/>
                <w:szCs w:val="24"/>
                <w:vertAlign w:val="baseline"/>
                <w:lang w:val="en-US" w:eastAsia="zh-CN"/>
              </w:rPr>
              <w:t>蓝旗实业有限公司向中国银行申请开户，完成开户后，蓝旗实业有限公司再向中国银行申请接入支付合作，中国银行审批申请，双方签署保密协议，双方再进行各自法务进行法审，法审通过后，蓝旗实业有限公司申请开立对公钱包，对公钱包名称为“蓝旗一号对公钱包”，开户银行为中国银行，钱包载体类型为软钱包，经过面签且人脸识别后，完成企业开立对公钱包。蓝旗实业有限公司近期打算优先发展分景区门票业务，准备接入</w:t>
            </w:r>
            <w:r>
              <w:rPr>
                <w:rFonts w:hint="eastAsia" w:ascii="仿宋" w:hAnsi="仿宋" w:eastAsia="仿宋" w:cs="仿宋"/>
                <w:sz w:val="24"/>
                <w:szCs w:val="24"/>
                <w:lang w:val="en-US" w:eastAsia="zh-CN"/>
              </w:rPr>
              <w:t>旅行观光应用场景的子钱包，子钱包名称为“蓝旗景区门票子钱包”，实现了企业数字人民币交易流转途径。</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蓝旗实业有限公司发布了一种商品，商品名称为</w:t>
            </w:r>
            <w:r>
              <w:rPr>
                <w:rFonts w:hint="eastAsia" w:ascii="仿宋" w:hAnsi="仿宋" w:eastAsia="仿宋" w:cs="仿宋"/>
                <w:sz w:val="24"/>
                <w:szCs w:val="24"/>
                <w:lang w:val="en-US" w:eastAsia="zh-CN"/>
              </w:rPr>
              <w:t>盘山风景名胜区主景区门票，门票的</w:t>
            </w:r>
            <w:r>
              <w:rPr>
                <w:rFonts w:hint="eastAsia" w:ascii="仿宋" w:hAnsi="仿宋" w:eastAsia="仿宋" w:cs="仿宋"/>
                <w:sz w:val="24"/>
                <w:szCs w:val="24"/>
                <w:lang w:eastAsia="zh-CN"/>
              </w:rPr>
              <w:t>商品类别</w:t>
            </w:r>
            <w:r>
              <w:rPr>
                <w:rFonts w:hint="eastAsia" w:ascii="仿宋" w:hAnsi="仿宋" w:eastAsia="仿宋" w:cs="仿宋"/>
                <w:sz w:val="24"/>
                <w:szCs w:val="24"/>
                <w:lang w:val="en-US" w:eastAsia="zh-CN"/>
              </w:rPr>
              <w:t>为旅行观光，一级品类为门票，起拍量为1张，发布量为100张，</w:t>
            </w:r>
            <w:r>
              <w:rPr>
                <w:rFonts w:hint="eastAsia" w:ascii="仿宋" w:hAnsi="仿宋" w:eastAsia="仿宋" w:cs="仿宋"/>
                <w:sz w:val="24"/>
                <w:szCs w:val="24"/>
                <w:lang w:eastAsia="zh-CN"/>
              </w:rPr>
              <w:t>单价</w:t>
            </w:r>
            <w:r>
              <w:rPr>
                <w:rFonts w:hint="eastAsia" w:ascii="仿宋" w:hAnsi="仿宋" w:eastAsia="仿宋" w:cs="仿宋"/>
                <w:sz w:val="24"/>
                <w:szCs w:val="24"/>
                <w:lang w:val="en-US" w:eastAsia="zh-CN"/>
              </w:rPr>
              <w:t>为199元。张明准备从</w:t>
            </w:r>
            <w:r>
              <w:rPr>
                <w:rFonts w:hint="eastAsia" w:ascii="仿宋" w:hAnsi="仿宋" w:eastAsia="仿宋" w:cs="仿宋"/>
                <w:b w:val="0"/>
                <w:bCs w:val="0"/>
                <w:sz w:val="24"/>
                <w:szCs w:val="24"/>
                <w:highlight w:val="none"/>
                <w:lang w:val="en-US" w:eastAsia="zh-CN"/>
              </w:rPr>
              <w:t>林亮经营的</w:t>
            </w:r>
            <w:r>
              <w:rPr>
                <w:rFonts w:hint="eastAsia" w:ascii="仿宋" w:hAnsi="仿宋" w:eastAsia="仿宋" w:cs="仿宋"/>
                <w:sz w:val="24"/>
                <w:szCs w:val="24"/>
                <w:vertAlign w:val="baseline"/>
                <w:lang w:val="en-US" w:eastAsia="zh-CN"/>
              </w:rPr>
              <w:t>蓝旗实业有限公司团购20张</w:t>
            </w:r>
            <w:r>
              <w:rPr>
                <w:rFonts w:hint="eastAsia" w:ascii="仿宋" w:hAnsi="仿宋" w:eastAsia="仿宋" w:cs="仿宋"/>
                <w:sz w:val="24"/>
                <w:szCs w:val="24"/>
                <w:lang w:val="en-US" w:eastAsia="zh-CN"/>
              </w:rPr>
              <w:t>盘山风景名胜区主景区的门票，张明接入了蓝旗景区门票子钱包，并通过子钱包付款。</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提示：张明个人信息：身份证号：450104197710101516；个人电话：13177898999；银行账号：6013004568005200</w:t>
            </w:r>
          </w:p>
          <w:p>
            <w:pPr>
              <w:spacing w:line="240" w:lineRule="auto"/>
              <w:ind w:firstLine="480" w:firstLineChars="2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中国工商银行向人民银行总行申请了跨境融资试点银行，得到人民银行总行的批准。富通国际有限公司向中国工商银行提交了“202</w:t>
            </w:r>
            <w:r>
              <w:rPr>
                <w:rFonts w:hint="eastAsia" w:ascii="仿宋" w:hAnsi="仿宋" w:eastAsia="仿宋" w:cs="仿宋"/>
                <w:i w:val="0"/>
                <w:iCs w:val="0"/>
                <w:caps w:val="0"/>
                <w:color w:val="000000"/>
                <w:spacing w:val="0"/>
                <w:sz w:val="24"/>
                <w:szCs w:val="24"/>
                <w:lang w:val="en-US" w:eastAsia="zh-CN"/>
              </w:rPr>
              <w:t>3</w:t>
            </w:r>
            <w:r>
              <w:rPr>
                <w:rFonts w:hint="eastAsia" w:ascii="仿宋" w:hAnsi="仿宋" w:eastAsia="仿宋" w:cs="仿宋"/>
                <w:i w:val="0"/>
                <w:iCs w:val="0"/>
                <w:caps w:val="0"/>
                <w:color w:val="000000"/>
                <w:spacing w:val="0"/>
                <w:sz w:val="24"/>
                <w:szCs w:val="24"/>
              </w:rPr>
              <w:t>年</w:t>
            </w:r>
            <w:r>
              <w:rPr>
                <w:rFonts w:hint="eastAsia" w:ascii="仿宋" w:hAnsi="仿宋" w:eastAsia="仿宋" w:cs="仿宋"/>
                <w:i w:val="0"/>
                <w:iCs w:val="0"/>
                <w:caps w:val="0"/>
                <w:color w:val="000000"/>
                <w:spacing w:val="0"/>
                <w:sz w:val="24"/>
                <w:szCs w:val="24"/>
                <w:lang w:val="en-US" w:eastAsia="zh-CN"/>
              </w:rPr>
              <w:t>日本</w:t>
            </w:r>
            <w:r>
              <w:rPr>
                <w:rFonts w:hint="eastAsia" w:ascii="仿宋" w:hAnsi="仿宋" w:eastAsia="仿宋" w:cs="仿宋"/>
                <w:i w:val="0"/>
                <w:iCs w:val="0"/>
                <w:caps w:val="0"/>
                <w:color w:val="000000"/>
                <w:spacing w:val="0"/>
                <w:sz w:val="24"/>
                <w:szCs w:val="24"/>
              </w:rPr>
              <w:t>投资试行项目”的跨境融资申请</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lang w:val="en-US" w:eastAsia="zh-CN"/>
              </w:rPr>
              <w:t>在</w:t>
            </w:r>
            <w:r>
              <w:rPr>
                <w:rFonts w:hint="eastAsia" w:ascii="仿宋" w:hAnsi="仿宋" w:eastAsia="仿宋" w:cs="仿宋"/>
                <w:sz w:val="24"/>
                <w:szCs w:val="24"/>
              </w:rPr>
              <w:t>开展跨境融资业务前，应据自身情况制定全口径跨境融资业务内控制度，按规定报</w:t>
            </w:r>
            <w:r>
              <w:rPr>
                <w:rFonts w:hint="eastAsia" w:ascii="仿宋" w:hAnsi="仿宋" w:eastAsia="仿宋" w:cs="仿宋"/>
                <w:sz w:val="24"/>
                <w:szCs w:val="24"/>
                <w:lang w:val="en-US" w:eastAsia="zh-CN"/>
              </w:rPr>
              <w:t>中国</w:t>
            </w:r>
            <w:r>
              <w:rPr>
                <w:rFonts w:hint="eastAsia" w:ascii="仿宋" w:hAnsi="仿宋" w:eastAsia="仿宋" w:cs="仿宋"/>
                <w:sz w:val="24"/>
                <w:szCs w:val="24"/>
              </w:rPr>
              <w:t>人民银行和外汇局</w:t>
            </w:r>
            <w:r>
              <w:rPr>
                <w:rFonts w:hint="eastAsia" w:ascii="仿宋" w:hAnsi="仿宋" w:eastAsia="仿宋" w:cs="仿宋"/>
                <w:sz w:val="24"/>
                <w:szCs w:val="24"/>
                <w:highlight w:val="none"/>
              </w:rPr>
              <w:t>备案</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上传</w:t>
            </w:r>
            <w:r>
              <w:rPr>
                <w:rFonts w:hint="eastAsia" w:ascii="仿宋" w:hAnsi="仿宋" w:eastAsia="仿宋" w:cs="仿宋"/>
                <w:sz w:val="24"/>
                <w:szCs w:val="24"/>
                <w:lang w:val="en-US" w:eastAsia="zh-CN"/>
              </w:rPr>
              <w:t>《</w:t>
            </w:r>
            <w:r>
              <w:rPr>
                <w:rFonts w:hint="eastAsia" w:ascii="仿宋" w:hAnsi="仿宋" w:eastAsia="仿宋" w:cs="仿宋"/>
                <w:sz w:val="24"/>
                <w:szCs w:val="24"/>
              </w:rPr>
              <w:t>全口径跨境融资业务</w:t>
            </w:r>
            <w:r>
              <w:rPr>
                <w:rFonts w:hint="eastAsia" w:ascii="仿宋" w:hAnsi="仿宋" w:eastAsia="仿宋" w:cs="仿宋"/>
                <w:sz w:val="24"/>
                <w:szCs w:val="24"/>
                <w:lang w:val="en-US" w:eastAsia="zh-CN"/>
              </w:rPr>
              <w:t>内控制度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和《跨境融资风险加权余额上限》文件，其中一级资本为1.05亿元，随后中国人民银行和国家外汇管理局接收了备案材料。</w:t>
            </w:r>
          </w:p>
          <w:p>
            <w:pPr>
              <w:pStyle w:val="14"/>
              <w:keepNext w:val="0"/>
              <w:keepLines w:val="0"/>
              <w:widowControl/>
              <w:suppressLineNumbers w:val="0"/>
              <w:spacing w:before="75" w:beforeAutospacing="0" w:after="75" w:afterAutospacing="0" w:line="240" w:lineRule="auto"/>
              <w:ind w:left="0" w:right="0" w:firstLine="480" w:firstLineChars="200"/>
              <w:rPr>
                <w:rFonts w:hint="eastAsia" w:ascii="仿宋" w:hAnsi="仿宋" w:eastAsia="仿宋" w:cs="仿宋"/>
                <w:sz w:val="24"/>
                <w:szCs w:val="24"/>
                <w:lang w:val="en-US" w:eastAsia="zh-CN"/>
              </w:rPr>
            </w:pPr>
            <w:r>
              <w:rPr>
                <w:rFonts w:hint="eastAsia" w:ascii="仿宋" w:hAnsi="仿宋" w:eastAsia="仿宋" w:cs="仿宋"/>
                <w:i w:val="0"/>
                <w:iCs w:val="0"/>
                <w:caps w:val="0"/>
                <w:color w:val="000000"/>
                <w:spacing w:val="0"/>
                <w:sz w:val="24"/>
                <w:szCs w:val="24"/>
              </w:rPr>
              <w:t>富通国际有限公司准备在</w:t>
            </w:r>
            <w:r>
              <w:rPr>
                <w:rFonts w:hint="eastAsia" w:ascii="仿宋" w:hAnsi="仿宋" w:eastAsia="仿宋" w:cs="仿宋"/>
                <w:i w:val="0"/>
                <w:iCs w:val="0"/>
                <w:caps w:val="0"/>
                <w:color w:val="000000"/>
                <w:spacing w:val="0"/>
                <w:sz w:val="24"/>
                <w:szCs w:val="24"/>
                <w:lang w:val="en-US" w:eastAsia="zh-CN"/>
              </w:rPr>
              <w:t>日本</w:t>
            </w:r>
            <w:r>
              <w:rPr>
                <w:rFonts w:hint="eastAsia" w:ascii="仿宋" w:hAnsi="仿宋" w:eastAsia="仿宋" w:cs="仿宋"/>
                <w:i w:val="0"/>
                <w:iCs w:val="0"/>
                <w:caps w:val="0"/>
                <w:color w:val="000000"/>
                <w:spacing w:val="0"/>
                <w:sz w:val="24"/>
                <w:szCs w:val="24"/>
              </w:rPr>
              <w:t>投资轻工业共计5000000.00元人民币，但目前已有投资资金2000000.00元人民币，准备向中国工商银行融资剩余部分，</w:t>
            </w:r>
            <w:r>
              <w:rPr>
                <w:rFonts w:hint="eastAsia" w:ascii="仿宋" w:hAnsi="仿宋" w:eastAsia="仿宋" w:cs="仿宋"/>
                <w:i w:val="0"/>
                <w:iCs w:val="0"/>
                <w:caps w:val="0"/>
                <w:color w:val="000000"/>
                <w:spacing w:val="0"/>
                <w:sz w:val="24"/>
                <w:szCs w:val="24"/>
                <w:lang w:val="en-US" w:eastAsia="zh-CN"/>
              </w:rPr>
              <w:t>融资单位为</w:t>
            </w:r>
            <w:r>
              <w:rPr>
                <w:rFonts w:hint="eastAsia" w:ascii="仿宋" w:hAnsi="仿宋" w:eastAsia="仿宋" w:cs="仿宋"/>
                <w:sz w:val="24"/>
                <w:szCs w:val="24"/>
                <w:vertAlign w:val="baseline"/>
                <w:lang w:val="en-US" w:eastAsia="zh-CN"/>
              </w:rPr>
              <w:t>松下电器产业株式会社，</w:t>
            </w:r>
            <w:r>
              <w:rPr>
                <w:rFonts w:hint="eastAsia" w:ascii="仿宋" w:hAnsi="仿宋" w:eastAsia="仿宋" w:cs="仿宋"/>
                <w:i w:val="0"/>
                <w:iCs w:val="0"/>
                <w:caps w:val="0"/>
                <w:color w:val="000000"/>
                <w:spacing w:val="0"/>
                <w:sz w:val="24"/>
                <w:szCs w:val="24"/>
              </w:rPr>
              <w:t>并且预计融资年限为</w:t>
            </w:r>
            <w:r>
              <w:rPr>
                <w:rFonts w:hint="eastAsia" w:ascii="仿宋" w:hAnsi="仿宋" w:eastAsia="仿宋" w:cs="仿宋"/>
                <w:i w:val="0"/>
                <w:iCs w:val="0"/>
                <w:caps w:val="0"/>
                <w:color w:val="000000"/>
                <w:spacing w:val="0"/>
                <w:sz w:val="24"/>
                <w:szCs w:val="24"/>
                <w:lang w:val="en-US" w:eastAsia="zh-CN"/>
              </w:rPr>
              <w:t>1</w:t>
            </w:r>
            <w:r>
              <w:rPr>
                <w:rFonts w:hint="eastAsia" w:ascii="仿宋" w:hAnsi="仿宋" w:eastAsia="仿宋" w:cs="仿宋"/>
                <w:i w:val="0"/>
                <w:iCs w:val="0"/>
                <w:caps w:val="0"/>
                <w:color w:val="000000"/>
                <w:spacing w:val="0"/>
                <w:sz w:val="24"/>
                <w:szCs w:val="24"/>
              </w:rPr>
              <w:t>年，</w:t>
            </w:r>
            <w:r>
              <w:rPr>
                <w:rFonts w:hint="eastAsia" w:ascii="仿宋" w:hAnsi="仿宋" w:eastAsia="仿宋" w:cs="仿宋"/>
                <w:i w:val="0"/>
                <w:iCs w:val="0"/>
                <w:caps w:val="0"/>
                <w:color w:val="000000"/>
                <w:spacing w:val="0"/>
                <w:sz w:val="24"/>
                <w:szCs w:val="24"/>
                <w:lang w:val="en-US" w:eastAsia="zh-CN"/>
              </w:rPr>
              <w:t>还款方式为</w:t>
            </w:r>
            <w:r>
              <w:rPr>
                <w:rFonts w:hint="eastAsia" w:ascii="仿宋" w:hAnsi="仿宋" w:eastAsia="仿宋" w:cs="仿宋"/>
                <w:sz w:val="24"/>
                <w:szCs w:val="24"/>
                <w:vertAlign w:val="baseline"/>
                <w:lang w:val="en-US" w:eastAsia="zh-CN"/>
              </w:rPr>
              <w:t>一次还本付息，申请时间为2023年5月7日，</w:t>
            </w:r>
            <w:r>
              <w:rPr>
                <w:rFonts w:hint="eastAsia" w:ascii="仿宋" w:hAnsi="仿宋" w:eastAsia="仿宋" w:cs="仿宋"/>
                <w:sz w:val="24"/>
                <w:szCs w:val="24"/>
                <w:lang w:val="en-US" w:eastAsia="zh-CN"/>
              </w:rPr>
              <w:t>债务人类型为外资企业，净资产为6000万，</w:t>
            </w:r>
            <w:r>
              <w:rPr>
                <w:rFonts w:hint="eastAsia" w:ascii="仿宋" w:hAnsi="仿宋" w:eastAsia="仿宋" w:cs="仿宋"/>
                <w:sz w:val="24"/>
                <w:szCs w:val="24"/>
              </w:rPr>
              <w:t>现有跨境融资余额</w:t>
            </w:r>
            <w:r>
              <w:rPr>
                <w:rFonts w:hint="eastAsia" w:ascii="仿宋" w:hAnsi="仿宋" w:eastAsia="仿宋" w:cs="仿宋"/>
                <w:sz w:val="24"/>
                <w:szCs w:val="24"/>
                <w:lang w:val="en-US" w:eastAsia="zh-CN"/>
              </w:rPr>
              <w:t>150万，</w:t>
            </w:r>
            <w:r>
              <w:rPr>
                <w:rFonts w:hint="eastAsia" w:ascii="仿宋" w:hAnsi="仿宋" w:eastAsia="仿宋" w:cs="仿宋"/>
                <w:sz w:val="24"/>
                <w:szCs w:val="24"/>
              </w:rPr>
              <w:t>现有跨境融资余额</w:t>
            </w:r>
            <w:r>
              <w:rPr>
                <w:rFonts w:hint="eastAsia" w:ascii="仿宋" w:hAnsi="仿宋" w:eastAsia="仿宋" w:cs="仿宋"/>
                <w:sz w:val="24"/>
                <w:szCs w:val="24"/>
                <w:lang w:val="en-US" w:eastAsia="zh-CN"/>
              </w:rPr>
              <w:t>160万，</w:t>
            </w:r>
            <w:r>
              <w:rPr>
                <w:rFonts w:hint="eastAsia" w:ascii="仿宋" w:hAnsi="仿宋" w:eastAsia="仿宋" w:cs="仿宋"/>
                <w:sz w:val="24"/>
                <w:szCs w:val="24"/>
              </w:rPr>
              <w:t>本笔跨境融资签约额</w:t>
            </w:r>
            <w:r>
              <w:rPr>
                <w:rFonts w:hint="eastAsia" w:ascii="仿宋" w:hAnsi="仿宋" w:eastAsia="仿宋" w:cs="仿宋"/>
                <w:i w:val="0"/>
                <w:iCs w:val="0"/>
                <w:caps w:val="0"/>
                <w:color w:val="000000"/>
                <w:spacing w:val="0"/>
                <w:sz w:val="24"/>
                <w:szCs w:val="24"/>
              </w:rPr>
              <w:t>2000000.00</w:t>
            </w:r>
            <w:r>
              <w:rPr>
                <w:rFonts w:hint="eastAsia" w:ascii="仿宋" w:hAnsi="仿宋" w:eastAsia="仿宋" w:cs="仿宋"/>
                <w:i w:val="0"/>
                <w:iCs w:val="0"/>
                <w:caps w:val="0"/>
                <w:color w:val="000000"/>
                <w:spacing w:val="0"/>
                <w:sz w:val="24"/>
                <w:szCs w:val="24"/>
                <w:lang w:val="en-US" w:eastAsia="zh-CN"/>
              </w:rPr>
              <w:t>元人民币，</w:t>
            </w:r>
            <w:r>
              <w:rPr>
                <w:rFonts w:hint="eastAsia" w:ascii="仿宋" w:hAnsi="仿宋" w:eastAsia="仿宋" w:cs="仿宋"/>
                <w:sz w:val="24"/>
                <w:szCs w:val="24"/>
              </w:rPr>
              <w:t>不纳入计算的业务类型</w:t>
            </w:r>
            <w:r>
              <w:rPr>
                <w:rFonts w:hint="eastAsia" w:ascii="仿宋" w:hAnsi="仿宋" w:eastAsia="仿宋" w:cs="仿宋"/>
                <w:sz w:val="24"/>
                <w:szCs w:val="24"/>
                <w:lang w:val="en-US" w:eastAsia="zh-CN"/>
              </w:rPr>
              <w:t>有</w:t>
            </w:r>
            <w:r>
              <w:rPr>
                <w:rFonts w:hint="eastAsia" w:ascii="仿宋" w:hAnsi="仿宋" w:eastAsia="仿宋" w:cs="仿宋"/>
                <w:sz w:val="24"/>
                <w:szCs w:val="24"/>
                <w:lang w:eastAsia="zh-CN"/>
              </w:rPr>
              <w:t>流动负债，</w:t>
            </w:r>
            <w:r>
              <w:rPr>
                <w:rFonts w:hint="eastAsia" w:ascii="仿宋" w:hAnsi="仿宋" w:eastAsia="仿宋" w:cs="仿宋"/>
                <w:sz w:val="24"/>
                <w:szCs w:val="24"/>
              </w:rPr>
              <w:t>纳入计算的余额</w:t>
            </w:r>
            <w:r>
              <w:rPr>
                <w:rFonts w:hint="eastAsia" w:ascii="仿宋" w:hAnsi="仿宋" w:eastAsia="仿宋" w:cs="仿宋"/>
                <w:sz w:val="24"/>
                <w:szCs w:val="24"/>
                <w:lang w:val="en-US" w:eastAsia="zh-CN"/>
              </w:rPr>
              <w:t>为150万元。</w:t>
            </w:r>
          </w:p>
          <w:p>
            <w:pPr>
              <w:pStyle w:val="14"/>
              <w:keepNext w:val="0"/>
              <w:keepLines w:val="0"/>
              <w:widowControl/>
              <w:suppressLineNumbers w:val="0"/>
              <w:spacing w:before="75" w:beforeAutospacing="0" w:after="75" w:afterAutospacing="0" w:line="240" w:lineRule="auto"/>
              <w:ind w:left="0" w:right="0" w:firstLine="480" w:firstLineChars="2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富通国际有限公司</w:t>
            </w:r>
            <w:r>
              <w:rPr>
                <w:rFonts w:hint="eastAsia" w:ascii="仿宋" w:hAnsi="仿宋" w:eastAsia="仿宋" w:cs="仿宋"/>
                <w:i w:val="0"/>
                <w:iCs w:val="0"/>
                <w:caps w:val="0"/>
                <w:color w:val="000000"/>
                <w:spacing w:val="0"/>
                <w:sz w:val="24"/>
                <w:szCs w:val="24"/>
                <w:lang w:val="en-US" w:eastAsia="zh-CN"/>
              </w:rPr>
              <w:t>与</w:t>
            </w:r>
            <w:r>
              <w:rPr>
                <w:rFonts w:hint="eastAsia" w:ascii="仿宋" w:hAnsi="仿宋" w:eastAsia="仿宋" w:cs="仿宋"/>
                <w:i w:val="0"/>
                <w:iCs w:val="0"/>
                <w:caps w:val="0"/>
                <w:color w:val="000000"/>
                <w:spacing w:val="0"/>
                <w:sz w:val="24"/>
                <w:szCs w:val="24"/>
              </w:rPr>
              <w:t>中国工商银行</w:t>
            </w:r>
            <w:r>
              <w:rPr>
                <w:rFonts w:hint="eastAsia" w:ascii="仿宋" w:hAnsi="仿宋" w:eastAsia="仿宋" w:cs="仿宋"/>
                <w:i w:val="0"/>
                <w:iCs w:val="0"/>
                <w:caps w:val="0"/>
                <w:color w:val="000000"/>
                <w:spacing w:val="0"/>
                <w:sz w:val="24"/>
                <w:szCs w:val="24"/>
                <w:lang w:val="en-US" w:eastAsia="zh-CN"/>
              </w:rPr>
              <w:t>签署贷款协议，企业将跨境融资签约信息进行备案，国家外汇管理局接收备案信息，并将合同信息等报送。为了接收贷款金，</w:t>
            </w:r>
            <w:r>
              <w:rPr>
                <w:rFonts w:hint="eastAsia" w:ascii="仿宋" w:hAnsi="仿宋" w:eastAsia="仿宋" w:cs="仿宋"/>
                <w:i w:val="0"/>
                <w:iCs w:val="0"/>
                <w:caps w:val="0"/>
                <w:color w:val="000000"/>
                <w:spacing w:val="0"/>
                <w:sz w:val="24"/>
                <w:szCs w:val="24"/>
              </w:rPr>
              <w:t>富通国际有限公司</w:t>
            </w:r>
            <w:r>
              <w:rPr>
                <w:rFonts w:hint="eastAsia" w:ascii="仿宋" w:hAnsi="仿宋" w:eastAsia="仿宋" w:cs="仿宋"/>
                <w:i w:val="0"/>
                <w:iCs w:val="0"/>
                <w:caps w:val="0"/>
                <w:color w:val="000000"/>
                <w:spacing w:val="0"/>
                <w:sz w:val="24"/>
                <w:szCs w:val="24"/>
                <w:lang w:val="en-US" w:eastAsia="zh-CN"/>
              </w:rPr>
              <w:t>申请开立外债专用账户，</w:t>
            </w:r>
            <w:r>
              <w:rPr>
                <w:rFonts w:hint="eastAsia" w:ascii="仿宋" w:hAnsi="仿宋" w:eastAsia="仿宋" w:cs="仿宋"/>
                <w:i w:val="0"/>
                <w:iCs w:val="0"/>
                <w:caps w:val="0"/>
                <w:color w:val="000000"/>
                <w:spacing w:val="0"/>
                <w:sz w:val="24"/>
                <w:szCs w:val="24"/>
              </w:rPr>
              <w:t>中国工商银行</w:t>
            </w:r>
            <w:r>
              <w:rPr>
                <w:rFonts w:hint="eastAsia" w:ascii="仿宋" w:hAnsi="仿宋" w:eastAsia="仿宋" w:cs="仿宋"/>
                <w:i w:val="0"/>
                <w:iCs w:val="0"/>
                <w:caps w:val="0"/>
                <w:color w:val="000000"/>
                <w:spacing w:val="0"/>
                <w:sz w:val="24"/>
                <w:szCs w:val="24"/>
                <w:lang w:val="en-US" w:eastAsia="zh-CN"/>
              </w:rPr>
              <w:t>同意审批开立外债专用账户，并发放了注资，随后</w:t>
            </w:r>
            <w:r>
              <w:rPr>
                <w:rFonts w:hint="eastAsia" w:ascii="仿宋" w:hAnsi="仿宋" w:eastAsia="仿宋" w:cs="仿宋"/>
                <w:i w:val="0"/>
                <w:iCs w:val="0"/>
                <w:caps w:val="0"/>
                <w:color w:val="000000"/>
                <w:spacing w:val="0"/>
                <w:sz w:val="24"/>
                <w:szCs w:val="24"/>
              </w:rPr>
              <w:t>富通国际有限公司</w:t>
            </w:r>
            <w:r>
              <w:rPr>
                <w:rFonts w:hint="eastAsia" w:ascii="仿宋" w:hAnsi="仿宋" w:eastAsia="仿宋" w:cs="仿宋"/>
                <w:i w:val="0"/>
                <w:iCs w:val="0"/>
                <w:caps w:val="0"/>
                <w:color w:val="000000"/>
                <w:spacing w:val="0"/>
                <w:sz w:val="24"/>
                <w:szCs w:val="24"/>
                <w:lang w:val="en-US" w:eastAsia="zh-CN"/>
              </w:rPr>
              <w:t>提款。</w:t>
            </w:r>
            <w:r>
              <w:rPr>
                <w:rFonts w:hint="eastAsia" w:ascii="仿宋" w:hAnsi="仿宋" w:eastAsia="仿宋" w:cs="仿宋"/>
                <w:i w:val="0"/>
                <w:iCs w:val="0"/>
                <w:caps w:val="0"/>
                <w:color w:val="000000"/>
                <w:spacing w:val="0"/>
                <w:sz w:val="24"/>
                <w:szCs w:val="24"/>
              </w:rPr>
              <w:t>中国工商银行</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lang w:val="en-US" w:eastAsia="zh-CN"/>
              </w:rPr>
              <w:t>中国人民银行、国家外汇管理局再次接收了信息报送，形成贷款信息备份闭环。还款日前夕，</w:t>
            </w:r>
            <w:r>
              <w:rPr>
                <w:rFonts w:hint="eastAsia" w:ascii="仿宋" w:hAnsi="仿宋" w:eastAsia="仿宋" w:cs="仿宋"/>
                <w:i w:val="0"/>
                <w:iCs w:val="0"/>
                <w:caps w:val="0"/>
                <w:color w:val="000000"/>
                <w:spacing w:val="0"/>
                <w:sz w:val="24"/>
                <w:szCs w:val="24"/>
              </w:rPr>
              <w:t>中国工商银行</w:t>
            </w:r>
            <w:r>
              <w:rPr>
                <w:rFonts w:hint="eastAsia" w:ascii="仿宋" w:hAnsi="仿宋" w:eastAsia="仿宋" w:cs="仿宋"/>
                <w:i w:val="0"/>
                <w:iCs w:val="0"/>
                <w:caps w:val="0"/>
                <w:color w:val="000000"/>
                <w:spacing w:val="0"/>
                <w:sz w:val="24"/>
                <w:szCs w:val="24"/>
                <w:lang w:val="en-US" w:eastAsia="zh-CN"/>
              </w:rPr>
              <w:t>提醒企业还款，</w:t>
            </w:r>
            <w:r>
              <w:rPr>
                <w:rFonts w:hint="eastAsia" w:ascii="仿宋" w:hAnsi="仿宋" w:eastAsia="仿宋" w:cs="仿宋"/>
                <w:i w:val="0"/>
                <w:iCs w:val="0"/>
                <w:caps w:val="0"/>
                <w:color w:val="000000"/>
                <w:spacing w:val="0"/>
                <w:sz w:val="24"/>
                <w:szCs w:val="24"/>
              </w:rPr>
              <w:t>富通国际有限公司</w:t>
            </w:r>
            <w:r>
              <w:rPr>
                <w:rFonts w:hint="eastAsia" w:ascii="仿宋" w:hAnsi="仿宋" w:eastAsia="仿宋" w:cs="仿宋"/>
                <w:i w:val="0"/>
                <w:iCs w:val="0"/>
                <w:caps w:val="0"/>
                <w:color w:val="000000"/>
                <w:spacing w:val="0"/>
                <w:sz w:val="24"/>
                <w:szCs w:val="24"/>
                <w:lang w:val="en-US" w:eastAsia="zh-CN"/>
              </w:rPr>
              <w:t>根据财务计划对此笔贷款还本付息，</w:t>
            </w:r>
            <w:r>
              <w:rPr>
                <w:rFonts w:hint="eastAsia" w:ascii="仿宋" w:hAnsi="仿宋" w:eastAsia="仿宋" w:cs="仿宋"/>
                <w:i w:val="0"/>
                <w:iCs w:val="0"/>
                <w:caps w:val="0"/>
                <w:color w:val="000000"/>
                <w:spacing w:val="0"/>
                <w:sz w:val="24"/>
                <w:szCs w:val="24"/>
              </w:rPr>
              <w:t>中国工商银行</w:t>
            </w:r>
            <w:r>
              <w:rPr>
                <w:rFonts w:hint="eastAsia" w:ascii="仿宋" w:hAnsi="仿宋" w:eastAsia="仿宋" w:cs="仿宋"/>
                <w:i w:val="0"/>
                <w:iCs w:val="0"/>
                <w:caps w:val="0"/>
                <w:color w:val="000000"/>
                <w:spacing w:val="0"/>
                <w:sz w:val="24"/>
                <w:szCs w:val="24"/>
                <w:lang w:val="en-US" w:eastAsia="zh-CN"/>
              </w:rPr>
              <w:t>再次将支出信息报送，做到跨境融资的公开性、完整性、严谨性。</w:t>
            </w:r>
          </w:p>
          <w:p>
            <w:pPr>
              <w:pStyle w:val="14"/>
              <w:keepNext w:val="0"/>
              <w:keepLines w:val="0"/>
              <w:widowControl/>
              <w:suppressLineNumbers w:val="0"/>
              <w:spacing w:before="75" w:beforeAutospacing="0" w:after="75" w:afterAutospacing="0" w:line="240" w:lineRule="auto"/>
              <w:ind w:left="0" w:right="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i w:val="0"/>
                <w:iCs w:val="0"/>
                <w:caps w:val="0"/>
                <w:color w:val="000000"/>
                <w:spacing w:val="0"/>
                <w:sz w:val="24"/>
                <w:szCs w:val="24"/>
              </w:rPr>
              <w:t>当富通国际有限公司</w:t>
            </w:r>
            <w:r>
              <w:rPr>
                <w:rFonts w:hint="eastAsia" w:ascii="仿宋" w:hAnsi="仿宋" w:eastAsia="仿宋" w:cs="仿宋"/>
                <w:i w:val="0"/>
                <w:iCs w:val="0"/>
                <w:caps w:val="0"/>
                <w:color w:val="000000"/>
                <w:spacing w:val="0"/>
                <w:sz w:val="24"/>
                <w:szCs w:val="24"/>
                <w:lang w:val="en-US" w:eastAsia="zh-CN"/>
              </w:rPr>
              <w:t>获取到跨境融资</w:t>
            </w:r>
            <w:r>
              <w:rPr>
                <w:rFonts w:hint="eastAsia" w:ascii="仿宋" w:hAnsi="仿宋" w:eastAsia="仿宋" w:cs="仿宋"/>
                <w:i w:val="0"/>
                <w:iCs w:val="0"/>
                <w:caps w:val="0"/>
                <w:color w:val="000000"/>
                <w:spacing w:val="0"/>
                <w:sz w:val="24"/>
                <w:szCs w:val="24"/>
              </w:rPr>
              <w:t>资金后，</w:t>
            </w:r>
            <w:r>
              <w:rPr>
                <w:rFonts w:hint="eastAsia" w:ascii="仿宋" w:hAnsi="仿宋" w:eastAsia="仿宋" w:cs="仿宋"/>
                <w:i w:val="0"/>
                <w:iCs w:val="0"/>
                <w:caps w:val="0"/>
                <w:color w:val="000000"/>
                <w:spacing w:val="0"/>
                <w:sz w:val="24"/>
                <w:szCs w:val="24"/>
                <w:lang w:val="en-US" w:eastAsia="zh-CN"/>
              </w:rPr>
              <w:t>准备从</w:t>
            </w:r>
            <w:r>
              <w:rPr>
                <w:rFonts w:hint="eastAsia" w:ascii="仿宋" w:hAnsi="仿宋" w:eastAsia="仿宋" w:cs="仿宋"/>
                <w:sz w:val="24"/>
                <w:szCs w:val="24"/>
                <w:vertAlign w:val="baseline"/>
                <w:lang w:val="en-US" w:eastAsia="zh-CN"/>
              </w:rPr>
              <w:t>松下电器产业株式会社</w:t>
            </w:r>
            <w:r>
              <w:rPr>
                <w:rFonts w:hint="eastAsia" w:ascii="仿宋" w:hAnsi="仿宋" w:eastAsia="仿宋" w:cs="仿宋"/>
                <w:i w:val="0"/>
                <w:iCs w:val="0"/>
                <w:caps w:val="0"/>
                <w:color w:val="000000"/>
                <w:spacing w:val="0"/>
                <w:sz w:val="24"/>
                <w:szCs w:val="24"/>
                <w:lang w:val="en-US" w:eastAsia="zh-CN"/>
              </w:rPr>
              <w:t>采购100台相机，并约定用数字人民币的方式付款，</w:t>
            </w:r>
            <w:r>
              <w:rPr>
                <w:rFonts w:hint="eastAsia" w:ascii="仿宋" w:hAnsi="仿宋" w:eastAsia="仿宋" w:cs="仿宋"/>
                <w:sz w:val="24"/>
                <w:szCs w:val="24"/>
                <w:vertAlign w:val="baseline"/>
                <w:lang w:val="en-US" w:eastAsia="zh-CN"/>
              </w:rPr>
              <w:t>松下电器产业株式会社接收了该笔采购订单。在</w:t>
            </w:r>
            <w:r>
              <w:rPr>
                <w:rFonts w:hint="eastAsia" w:ascii="仿宋" w:hAnsi="仿宋" w:eastAsia="仿宋" w:cs="仿宋"/>
                <w:i w:val="0"/>
                <w:iCs w:val="0"/>
                <w:caps w:val="0"/>
                <w:color w:val="000000"/>
                <w:spacing w:val="0"/>
                <w:sz w:val="24"/>
                <w:szCs w:val="24"/>
              </w:rPr>
              <w:t>富通国际有限公司</w:t>
            </w:r>
            <w:r>
              <w:rPr>
                <w:rFonts w:hint="eastAsia" w:ascii="仿宋" w:hAnsi="仿宋" w:eastAsia="仿宋" w:cs="仿宋"/>
                <w:i w:val="0"/>
                <w:iCs w:val="0"/>
                <w:caps w:val="0"/>
                <w:color w:val="000000"/>
                <w:spacing w:val="0"/>
                <w:sz w:val="24"/>
                <w:szCs w:val="24"/>
                <w:lang w:val="en-US" w:eastAsia="zh-CN"/>
              </w:rPr>
              <w:t>付款完成后，</w:t>
            </w:r>
            <w:r>
              <w:rPr>
                <w:rFonts w:hint="eastAsia" w:ascii="仿宋" w:hAnsi="仿宋" w:eastAsia="仿宋" w:cs="仿宋"/>
                <w:sz w:val="24"/>
                <w:szCs w:val="24"/>
                <w:vertAlign w:val="baseline"/>
                <w:lang w:val="en-US" w:eastAsia="zh-CN"/>
              </w:rPr>
              <w:t>松下电器产业株式会社立即将货物发出，等待货物到达目的地后，</w:t>
            </w:r>
            <w:r>
              <w:rPr>
                <w:rFonts w:hint="eastAsia" w:ascii="仿宋" w:hAnsi="仿宋" w:eastAsia="仿宋" w:cs="仿宋"/>
                <w:i w:val="0"/>
                <w:iCs w:val="0"/>
                <w:caps w:val="0"/>
                <w:color w:val="000000"/>
                <w:spacing w:val="0"/>
                <w:sz w:val="24"/>
                <w:szCs w:val="24"/>
              </w:rPr>
              <w:t>富通国际有限公司</w:t>
            </w:r>
            <w:r>
              <w:rPr>
                <w:rFonts w:hint="eastAsia" w:ascii="仿宋" w:hAnsi="仿宋" w:eastAsia="仿宋" w:cs="仿宋"/>
                <w:i w:val="0"/>
                <w:iCs w:val="0"/>
                <w:caps w:val="0"/>
                <w:color w:val="000000"/>
                <w:spacing w:val="0"/>
                <w:sz w:val="24"/>
                <w:szCs w:val="24"/>
                <w:lang w:val="en-US" w:eastAsia="zh-CN"/>
              </w:rPr>
              <w:t>确认收货，完成此次数字人民币跨境支付。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7856"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restart"/>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952"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522" w:type="dxa"/>
            <w:gridSpan w:val="2"/>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2156"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2000"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226"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952"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1522"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auto"/>
                <w:spacing w:val="-3"/>
                <w:sz w:val="24"/>
                <w:szCs w:val="24"/>
                <w:lang w:val="en-US" w:eastAsia="zh-CN" w:bidi="zh-CN"/>
              </w:rPr>
              <w:t>完成数字人民币生成、发行</w:t>
            </w:r>
          </w:p>
        </w:tc>
        <w:tc>
          <w:tcPr>
            <w:tcW w:w="2156" w:type="dxa"/>
            <w:noWrap w:val="0"/>
            <w:vAlign w:val="center"/>
          </w:tcPr>
          <w:p>
            <w:pPr>
              <w:numPr>
                <w:ilvl w:val="0"/>
                <w:numId w:val="0"/>
              </w:num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1.制定数字人民币发行计划</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2.审批数字人民币发行计划</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3.缴纳、清点准备金</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4.生成、发行、兑换数字人民币</w:t>
            </w:r>
          </w:p>
        </w:tc>
        <w:tc>
          <w:tcPr>
            <w:tcW w:w="2000" w:type="dxa"/>
            <w:noWrap w:val="0"/>
            <w:vAlign w:val="center"/>
          </w:tcPr>
          <w:p>
            <w:pPr>
              <w:numPr>
                <w:ilvl w:val="0"/>
                <w:numId w:val="5"/>
              </w:num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发行数字人民币流程</w:t>
            </w:r>
          </w:p>
          <w:p>
            <w:pPr>
              <w:numPr>
                <w:ilvl w:val="0"/>
                <w:numId w:val="5"/>
              </w:num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数字人民币计划信息</w:t>
            </w:r>
          </w:p>
        </w:tc>
        <w:tc>
          <w:tcPr>
            <w:tcW w:w="1226"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952"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子任务1-2</w:t>
            </w:r>
          </w:p>
        </w:tc>
        <w:tc>
          <w:tcPr>
            <w:tcW w:w="1522" w:type="dxa"/>
            <w:gridSpan w:val="2"/>
            <w:noWrap w:val="0"/>
            <w:vAlign w:val="center"/>
          </w:tcPr>
          <w:p>
            <w:pPr>
              <w:spacing w:after="0" w:line="240" w:lineRule="auto"/>
              <w:ind w:left="0" w:leftChars="0" w:firstLine="0" w:firstLineChars="0"/>
              <w:rPr>
                <w:rFonts w:hint="eastAsia" w:ascii="仿宋" w:hAnsi="仿宋" w:eastAsia="仿宋" w:cs="仿宋"/>
                <w:b w:val="0"/>
                <w:bCs w:val="0"/>
                <w:color w:val="auto"/>
                <w:spacing w:val="-3"/>
                <w:sz w:val="24"/>
                <w:szCs w:val="24"/>
                <w:lang w:val="en-US" w:eastAsia="zh-CN" w:bidi="zh-CN"/>
              </w:rPr>
            </w:pPr>
            <w:r>
              <w:rPr>
                <w:rFonts w:hint="eastAsia" w:ascii="仿宋" w:hAnsi="仿宋" w:eastAsia="仿宋" w:cs="仿宋"/>
                <w:b w:val="0"/>
                <w:bCs w:val="0"/>
                <w:color w:val="auto"/>
                <w:spacing w:val="-3"/>
                <w:sz w:val="24"/>
                <w:szCs w:val="24"/>
                <w:lang w:val="en-US" w:eastAsia="zh-CN" w:bidi="zh-CN"/>
              </w:rPr>
              <w:t>运用子钱包技术完成数字人民币钱包开发与支付</w:t>
            </w:r>
          </w:p>
        </w:tc>
        <w:tc>
          <w:tcPr>
            <w:tcW w:w="2156" w:type="dxa"/>
            <w:noWrap w:val="0"/>
            <w:vAlign w:val="center"/>
          </w:tcPr>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1.开发数字人民币钱包</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2.申请开户</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3.审核开户并审核数字人民币钱包</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4.钱包充值、升级数字人民币钱包</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5.接入支付</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6.申请对公钱包，并添加子钱包</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7.发布商品</w:t>
            </w:r>
          </w:p>
          <w:p>
            <w:pPr>
              <w:numPr>
                <w:ilvl w:val="0"/>
                <w:numId w:val="0"/>
              </w:num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8.添加子钱包、购物并使用子钱包支付</w:t>
            </w:r>
          </w:p>
        </w:tc>
        <w:tc>
          <w:tcPr>
            <w:tcW w:w="2000"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1.申请数字人民币钱包流程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2.接入制度流程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使用数字人民币子钱包购物流程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3.申请数字人民币钱包信息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4.发布商品信息</w:t>
            </w:r>
          </w:p>
        </w:tc>
        <w:tc>
          <w:tcPr>
            <w:tcW w:w="1226"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952"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子任务1-3</w:t>
            </w:r>
          </w:p>
        </w:tc>
        <w:tc>
          <w:tcPr>
            <w:tcW w:w="1522"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完成区块链跨境金融试点审批</w:t>
            </w:r>
          </w:p>
        </w:tc>
        <w:tc>
          <w:tcPr>
            <w:tcW w:w="21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1.试点申请</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2.审批试点申请</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3.备案融资信息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4.接收备案材料</w:t>
            </w:r>
          </w:p>
        </w:tc>
        <w:tc>
          <w:tcPr>
            <w:tcW w:w="2000"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1.申请试点流程</w:t>
            </w:r>
          </w:p>
        </w:tc>
        <w:tc>
          <w:tcPr>
            <w:tcW w:w="1226"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952"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子任务1-4</w:t>
            </w:r>
          </w:p>
        </w:tc>
        <w:tc>
          <w:tcPr>
            <w:tcW w:w="1522"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运用区块链技术，完成区块链跨境金融融资</w:t>
            </w:r>
          </w:p>
        </w:tc>
        <w:tc>
          <w:tcPr>
            <w:tcW w:w="21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1.申请融资</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2.审批融资申请</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3.签署贷款协议</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4.跨境融资签约备案</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5.报送融资各类信息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6.申请开立外债专用账户</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7.审批开立外债账户</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8.放贷注资</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9.提取贷款金并信息报送</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10.提醒还款</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cs="仿宋"/>
                <w:color w:val="000000"/>
                <w:sz w:val="24"/>
                <w:szCs w:val="24"/>
                <w:highlight w:val="none"/>
                <w:lang w:val="en-US" w:eastAsia="zh-CN"/>
              </w:rPr>
              <w:t>11.</w:t>
            </w:r>
            <w:r>
              <w:rPr>
                <w:rFonts w:hint="eastAsia" w:ascii="仿宋" w:hAnsi="仿宋" w:eastAsia="仿宋" w:cs="仿宋"/>
                <w:color w:val="000000"/>
                <w:sz w:val="24"/>
                <w:szCs w:val="24"/>
                <w:highlight w:val="none"/>
                <w:lang w:val="en-US" w:eastAsia="zh-CN"/>
              </w:rPr>
              <w:t>还付本息并信息报送</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cs="仿宋"/>
                <w:color w:val="000000"/>
                <w:sz w:val="24"/>
                <w:szCs w:val="24"/>
                <w:highlight w:val="none"/>
                <w:lang w:val="en-US" w:eastAsia="zh-CN"/>
              </w:rPr>
              <w:t>12.</w:t>
            </w:r>
            <w:r>
              <w:rPr>
                <w:rFonts w:hint="eastAsia" w:ascii="仿宋" w:hAnsi="仿宋" w:eastAsia="仿宋" w:cs="仿宋"/>
                <w:color w:val="000000"/>
                <w:sz w:val="24"/>
                <w:szCs w:val="24"/>
                <w:highlight w:val="none"/>
                <w:lang w:val="en-US" w:eastAsia="zh-CN"/>
              </w:rPr>
              <w:t>注销登记</w:t>
            </w:r>
          </w:p>
        </w:tc>
        <w:tc>
          <w:tcPr>
            <w:tcW w:w="2000"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1.申请融资流程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2.申请融资信息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3.注资流程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4.还款流程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p>
        </w:tc>
        <w:tc>
          <w:tcPr>
            <w:tcW w:w="1226"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952"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rPr>
              <w:t>子任务1-5</w:t>
            </w:r>
          </w:p>
        </w:tc>
        <w:tc>
          <w:tcPr>
            <w:tcW w:w="1522"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运用区块链技术，完成区块链跨境金融支付与结算、数字人民币跨境支付</w:t>
            </w:r>
          </w:p>
        </w:tc>
        <w:tc>
          <w:tcPr>
            <w:tcW w:w="2156"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1.发起采购订单</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2.接受订单</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3.付款</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4.发货</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5.确认收货</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6.发放提单</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7.确认收款</w:t>
            </w:r>
          </w:p>
        </w:tc>
        <w:tc>
          <w:tcPr>
            <w:tcW w:w="2000"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1.采销流程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2.采购订单信息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3.数字人民币支付流程</w:t>
            </w:r>
          </w:p>
        </w:tc>
        <w:tc>
          <w:tcPr>
            <w:tcW w:w="1226"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952"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522" w:type="dxa"/>
            <w:gridSpan w:val="2"/>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highlight w:val="none"/>
              </w:rPr>
              <w:t>更多样题详见题库素材包</w:t>
            </w:r>
          </w:p>
        </w:tc>
        <w:tc>
          <w:tcPr>
            <w:tcW w:w="2156" w:type="dxa"/>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_GB2312" w:eastAsia="仿宋_GB2312"/>
                <w:sz w:val="24"/>
                <w:szCs w:val="24"/>
              </w:rPr>
              <w:t>......</w:t>
            </w:r>
          </w:p>
        </w:tc>
        <w:tc>
          <w:tcPr>
            <w:tcW w:w="2000"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p>
        </w:tc>
        <w:tc>
          <w:tcPr>
            <w:tcW w:w="1226"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vMerge w:val="restart"/>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1719"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6137" w:type="dxa"/>
            <w:gridSpan w:val="4"/>
            <w:noWrap w:val="0"/>
            <w:vAlign w:val="center"/>
          </w:tcPr>
          <w:p>
            <w:pPr>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cs="仿宋"/>
                <w:color w:val="000000"/>
                <w:sz w:val="24"/>
                <w:szCs w:val="24"/>
                <w:highlight w:val="none"/>
                <w:lang w:val="en-US" w:eastAsia="zh-CN"/>
              </w:rPr>
              <w:t>1.</w:t>
            </w:r>
            <w:r>
              <w:rPr>
                <w:rFonts w:hint="eastAsia" w:ascii="仿宋" w:hAnsi="仿宋" w:eastAsia="仿宋" w:cs="仿宋"/>
                <w:color w:val="000000"/>
                <w:sz w:val="24"/>
                <w:szCs w:val="24"/>
                <w:highlight w:val="none"/>
                <w:lang w:val="en-US" w:eastAsia="zh-CN"/>
              </w:rPr>
              <w:t>投资分析能力</w:t>
            </w:r>
            <w:r>
              <w:rPr>
                <w:rFonts w:hint="eastAsia" w:ascii="仿宋" w:hAnsi="仿宋" w:cs="仿宋"/>
                <w:color w:val="000000"/>
                <w:sz w:val="24"/>
                <w:szCs w:val="24"/>
                <w:highlight w:val="none"/>
                <w:lang w:val="en-US" w:eastAsia="zh-CN"/>
              </w:rPr>
              <w:t>；</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cs="仿宋"/>
                <w:color w:val="000000"/>
                <w:sz w:val="24"/>
                <w:szCs w:val="24"/>
                <w:highlight w:val="none"/>
                <w:lang w:val="en-US" w:eastAsia="zh-CN"/>
              </w:rPr>
              <w:t>2.</w:t>
            </w:r>
            <w:r>
              <w:rPr>
                <w:rFonts w:hint="eastAsia" w:ascii="仿宋" w:hAnsi="仿宋" w:eastAsia="仿宋" w:cs="仿宋"/>
                <w:color w:val="000000"/>
                <w:sz w:val="24"/>
                <w:szCs w:val="24"/>
                <w:highlight w:val="none"/>
                <w:lang w:val="en-US" w:eastAsia="zh-CN"/>
              </w:rPr>
              <w:t>国际结算、外汇交易、外汇管理能力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1"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719"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6137" w:type="dxa"/>
            <w:gridSpan w:val="4"/>
            <w:noWrap w:val="0"/>
            <w:vAlign w:val="center"/>
          </w:tcPr>
          <w:p>
            <w:pPr>
              <w:numPr>
                <w:ilvl w:val="0"/>
                <w:numId w:val="0"/>
              </w:numPr>
              <w:spacing w:after="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JR/T 0149-2016</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中国金融移动支付 支付标记化技术规范</w:t>
            </w:r>
          </w:p>
          <w:p>
            <w:pPr>
              <w:numPr>
                <w:ilvl w:val="0"/>
                <w:numId w:val="0"/>
              </w:numPr>
              <w:spacing w:after="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JR/T 0095-2012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中国金融移动支付 应用安全规范</w:t>
            </w:r>
          </w:p>
          <w:p>
            <w:pPr>
              <w:numPr>
                <w:ilvl w:val="0"/>
                <w:numId w:val="0"/>
              </w:numPr>
              <w:spacing w:after="0" w:line="240" w:lineRule="auto"/>
              <w:ind w:leftChars="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JR/T 0216—2021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人民币跨境支付清算信息交换规范</w:t>
            </w:r>
          </w:p>
          <w:p>
            <w:pPr>
              <w:pStyle w:val="8"/>
              <w:numPr>
                <w:ilvl w:val="0"/>
                <w:numId w:val="0"/>
              </w:num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GB/T 42015-2022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信息安全技术 网络支付服务数据安全要求</w:t>
            </w:r>
          </w:p>
          <w:p>
            <w:pPr>
              <w:pStyle w:val="8"/>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GB/T</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38708-2020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国际贸易货物交付与货款支付的风险控制与防</w:t>
            </w:r>
            <w:r>
              <w:rPr>
                <w:rFonts w:hint="eastAsia" w:ascii="仿宋" w:hAnsi="仿宋" w:cs="仿宋"/>
                <w:sz w:val="24"/>
                <w:szCs w:val="24"/>
                <w:lang w:val="en-US" w:eastAsia="zh-CN"/>
              </w:rPr>
              <w:t>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7856"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1"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7856"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numPr>
          <w:ilvl w:val="0"/>
          <w:numId w:val="0"/>
        </w:numPr>
        <w:autoSpaceDE/>
        <w:autoSpaceDN/>
        <w:spacing w:line="240" w:lineRule="auto"/>
        <w:ind w:left="420" w:leftChars="0" w:right="-27" w:rightChars="-13"/>
        <w:jc w:val="both"/>
        <w:rPr>
          <w:rFonts w:hint="eastAsia" w:ascii="仿宋" w:hAnsi="仿宋" w:eastAsia="仿宋" w:cs="仿宋"/>
          <w:kern w:val="2"/>
          <w:sz w:val="24"/>
          <w:szCs w:val="24"/>
          <w:lang w:val="en-US" w:eastAsia="zh-CN" w:bidi="ar-SA"/>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color w:val="auto"/>
          <w:sz w:val="28"/>
          <w:szCs w:val="28"/>
          <w:highlight w:val="none"/>
          <w:lang w:val="en-US" w:eastAsia="zh-CN" w:bidi="zh-CN"/>
        </w:rPr>
        <w:t>4.</w:t>
      </w:r>
      <w:r>
        <w:rPr>
          <w:rFonts w:hint="default" w:ascii="仿宋_GB2312" w:hAnsi="仿宋_GB2312" w:eastAsia="仿宋_GB2312" w:cs="仿宋_GB2312"/>
          <w:b/>
          <w:bCs/>
          <w:color w:val="auto"/>
          <w:sz w:val="28"/>
          <w:szCs w:val="28"/>
          <w:highlight w:val="none"/>
          <w:lang w:val="en-US" w:eastAsia="zh-CN"/>
        </w:rPr>
        <w:t>银行业务数字化</w:t>
      </w:r>
    </w:p>
    <w:tbl>
      <w:tblPr>
        <w:tblStyle w:val="16"/>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489"/>
        <w:gridCol w:w="972"/>
        <w:gridCol w:w="656"/>
        <w:gridCol w:w="2305"/>
        <w:gridCol w:w="1867"/>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2461"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模块4</w:t>
            </w:r>
          </w:p>
        </w:tc>
        <w:tc>
          <w:tcPr>
            <w:tcW w:w="2961" w:type="dxa"/>
            <w:gridSpan w:val="2"/>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2582" w:type="dxa"/>
            <w:gridSpan w:val="2"/>
            <w:noWrap w:val="0"/>
            <w:vAlign w:val="center"/>
          </w:tcPr>
          <w:p>
            <w:pPr>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2461"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银行业务数字化</w:t>
            </w:r>
          </w:p>
        </w:tc>
        <w:tc>
          <w:tcPr>
            <w:tcW w:w="2961" w:type="dxa"/>
            <w:gridSpan w:val="2"/>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2582" w:type="dxa"/>
            <w:gridSpan w:val="2"/>
            <w:noWrap w:val="0"/>
            <w:vAlign w:val="center"/>
          </w:tcPr>
          <w:p>
            <w:pPr>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8004"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（与其他“数字金融业务”模块同时考核）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8004" w:type="dxa"/>
            <w:gridSpan w:val="6"/>
            <w:noWrap w:val="0"/>
            <w:vAlign w:val="center"/>
          </w:tcPr>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近某品牌推出了一款新型电子产品，姬致打算购买此款电子产品，但个人的可用资金不足以支付15000.00元的电子产品。姬致咨询品牌店内的销售经理后，销售经理推荐使用个人消费贷款的形式购买此电子产品，所以姬致决定申请个人消费贷款来购买此电子产品。2023年5月10日，姬致以本人身份填写并递交了个人信用报告查询申请表后，得到了中国人民银行的审批同意。</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姬致在查看了个人信用报告后，开始向商业银行申请个人贷款。姬致当前的月收入为人民币100000.00元，他准备以无担保方式贷款15000.00元，预计5个月后还款且分期付款占月收入的比重为3%。因为姬致是准备将这笔钱用于购买电子产品，所以在贷款用途上勾选了“3C”。姬致在2023年5月15日填制了个人贷款申请表，并上传了商业银行要求的个人信用报告及其他个人资料，在等待商业银行的审批回复期间，姬致接入客服服务，查询了贷款进度。</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近期，商业银行贷款部门为了对各种类型的贷款人实施更精细的风险控制，专门为个人和企业贷款者分别创建了对应的风险评估模型。针对个人贷款者创建了“2023年个人小额贷款精准风控”模型，贷款部门根据过往经验与结合近期形式变化，对应输入合适的函数评分系数，完成个人贷款者风控模型创建。</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商业银行贷款部门在收到姬致的贷款申请后，针对姬致的个人信息应用“2023年个人小额贷款精准风控”模型进行了风险级别识别，经风控模型评定为姬致属于合格贷款用户，贷款部门得到评定结果，随后审核了姬致提交的全部贷款资料后，同意了贷款申请。在完成贷前管理后，在贷中管理时仔细审核了每一项贷款人材料，对姬致贷款申请给与审批通过。</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姬致收到了商业银行给与的审批通过结果，2023年5月16日填写并提交了“个人消费贷款合同”，商业银行收到贷款合同后，2023年5月18日签订了合同。商业银行按期实施贷后管理，审查姬致的贷款信息，在2023年10月15日向姬致发送了还款提醒通知函。姬致在接收到还款提醒通知函消息后，在2022年10月2日还清了贷款。</w:t>
            </w:r>
          </w:p>
          <w:tbl>
            <w:tblPr>
              <w:tblStyle w:val="16"/>
              <w:tblW w:w="4999"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893"/>
              <w:gridCol w:w="389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姓名</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姬致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年龄（岁）</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身份证号</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364786198405188130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电话</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13197117213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婚姻状况</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已婚育有子女</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身体状况</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良好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文化程度</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高等教育</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单位性质</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企业单位</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c>
                <w:tcPr>
                  <w:tcW w:w="2499"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职称</w:t>
                  </w:r>
                </w:p>
              </w:tc>
              <w:tc>
                <w:tcPr>
                  <w:tcW w:w="2500" w:type="pct"/>
                  <w:tcBorders>
                    <w:top w:val="single" w:color="A4A4A4" w:sz="8" w:space="0"/>
                    <w:left w:val="single" w:color="A4A4A4" w:sz="8" w:space="0"/>
                    <w:bottom w:val="single" w:color="A4A4A4" w:sz="8" w:space="0"/>
                    <w:right w:val="single" w:color="A4A4A4" w:sz="8" w:space="0"/>
                  </w:tcBorders>
                  <w:noWrap w:val="0"/>
                  <w:vAlign w:val="top"/>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高级职称</w:t>
                  </w:r>
                </w:p>
              </w:tc>
            </w:tr>
          </w:tbl>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融仑文有限公司是一家小型出版公司，近期准备扩大公司规模，但目前没有足够的周转现金。江苏融仑文有限公司的法定代表人巨楠喆准备向银行申请一笔期限为3个月的企业银行贷款，贷款金额为4500000.00元，银行告知法定代表人巨楠喆申请企业银行贷款需要出具企业征信报告，但江苏融仑文有限公司的法定代表人巨楠喆目前因为个人事务无法脱身，决定委托代理人成佳，在中国人民银行企业征信中心申请查询企业征信报告。2023年4月9日，巨楠喆给成佳签发了“企业法定代表人授权委托书”，同时承诺委托纯属自愿行为，如有不实，愿意承担相应法律责任。此授权委托书的授权有效期为2023年4月17日，为了保证在授权有效期内提交申请，2023年4月14日，成佳填写了“企业信用报告查询申请表”，并向企业征信中心提交了委托书和申请表，得到征信报告后，江苏融仑文有限公司法定代表人巨楠喆立马查看了征信报告，由于对企业银行贷款流程不熟悉，巨楠喆在接入客服服务查询贷款进度。</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巨楠喆得到企业征信报告后，在2023年5月2日填制了企业贷款申请表，并提交了企业征信报告等贷款文件，提交给商业银行审批。商业银行收到江苏融仑文有限公司的贷款申请后，先创建了企业类型的“非上市公司风险评估”风险控制模型，对江苏融仑文有限公司进行了风险等级评估，评估风险等级符合贷款要求，在贷中审核环节仔细确认了企业的相关材料后并给与审批通过， 江苏融仑文有限公司在2023年5月6日提交了贷款协议等待银行签约，银行在收到协议的3天后与江苏融仑文有限公司签署了贷款协议。</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银行在进行日常的贷后管理时，审核了江苏融仑文有限公司的贷后信息，在2023年7月29日向江苏融仑文有限公司法定代表人巨楠喆发送了还款提醒通知函，江苏融仑文有限公司在收到通知函后，在2023年8月1日完成了贷款的还款。</w:t>
            </w:r>
          </w:p>
          <w:tbl>
            <w:tblPr>
              <w:tblStyle w:val="16"/>
              <w:tblW w:w="4998"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893"/>
              <w:gridCol w:w="389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企业全称</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江苏融仑文有限公司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企业注册地址</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江苏省徐州市鼓楼区黄楼街道</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企业注册时间</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2015-08-17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国税登记号</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893215971143244247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企业注册资本（元）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企业组织机构代码</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22245725-7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法定代表人姓名</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巨楠喆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法定代表人证件号码</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323623197307109175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法定代表人电话号码</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13191167191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委托代理人姓名</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成佳</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委托代理人证件号码</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505221199209144322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委托代理人电话号码</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15639118525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企业资产总额（元）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企业流动资产（元）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企业流动负债（元）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企业利润总额（元）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1596324.00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企业财务费用（元）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企业负债总额（元）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企业权益市场值（元）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企业销售收入（元）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569423.00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企业未分配利润（元）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675313.00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企业主营业务收入净额（元）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企业所有者权益（元）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4000000.00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企业折旧（元）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115236.00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企业摊销（元）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160500.00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企业利息支出（元）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150000.69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企业实收资本（元）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2900000.00</w:t>
                  </w:r>
                </w:p>
              </w:tc>
            </w:tr>
          </w:tbl>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提示：银行业务中，企业贷款申请人为法定代表人，借款人为企业。</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近期国家推出了养老金个税减免政策，个体户段谚思准备2021年4月6日先申请了个人养老金账户，随后商业银行给予审批通过。2023年3月10日申请了2022年整个年度的养老金个税减免，2022年段谚思缴费月度为12个月，年收入为120000元，税务局经过检查核实，给与段谚思养老金个税减免审批通过。</w:t>
            </w:r>
          </w:p>
          <w:p>
            <w:pPr>
              <w:spacing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近期中国银行发现养老金投资的盈利市场，内部人员经过会议讨论决定，发布1种养老基金产品，产品名称为“颐养天年一号”，产品成立日期为2023年1月20日，产品存续时间为12个月，年化收益率为4.56%。段谚思了解到颐养天年一号养老基金产品的收益率，打算购买此基金产品。当即制定养老金投资计划，投资方案名称为“退休基金投资计划”，投资金额为8000元，投资时间为2023年1月21日。</w:t>
            </w:r>
          </w:p>
          <w:tbl>
            <w:tblPr>
              <w:tblStyle w:val="16"/>
              <w:tblW w:w="4998"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893"/>
              <w:gridCol w:w="389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姓名</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段谚思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身份证号码</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463926197504151800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户籍户别</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本市（城镇）户口</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联系地址</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海南省三亚市海棠区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户籍地址</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海南省三亚市海棠区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联系电话</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18197817152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文化程度</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中等教育</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政治面貌</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群众</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缴费机构</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海南商论有限公司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缴费起始年月日</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2015年1月20日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缴费基数（元）</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缴费形式</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工作单位</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499"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缴费卡银行</w:t>
                  </w:r>
                </w:p>
              </w:tc>
              <w:tc>
                <w:tcPr>
                  <w:tcW w:w="2500" w:type="pct"/>
                  <w:tcBorders>
                    <w:top w:val="single" w:color="A4A4A4" w:sz="8" w:space="0"/>
                    <w:left w:val="single" w:color="A4A4A4" w:sz="8" w:space="0"/>
                    <w:bottom w:val="single" w:color="A4A4A4" w:sz="8" w:space="0"/>
                    <w:right w:val="single" w:color="A4A4A4" w:sz="8" w:space="0"/>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中国银行</w:t>
                  </w:r>
                </w:p>
              </w:tc>
            </w:tr>
          </w:tbl>
          <w:p>
            <w:pPr>
              <w:spacing w:after="0" w:line="240" w:lineRule="auto"/>
              <w:ind w:left="0" w:leftChars="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在养老基金产品效益逐渐上升后，商业银行运营主管朴星宇在近期准备推出一款银行理财产品，朴星宇根据银行风控系统，选取月收入大于等于1万且小于等于1.5万且职称为中级职称的用户建立一个名为“朴素养老理财用户”的用户群。为了更精确的锁定用户群体，朴星宇为“朴素养老理财用户”用户群创建了客户画像，并针对用户行为分析发现，做过2次以上理财风险评估的用户有很强的购买银行理财产品需求，随即朴星宇为“朴素养老理财用户”用户群制定了营销策略，</w:t>
            </w:r>
            <w:r>
              <w:rPr>
                <w:rFonts w:hint="eastAsia" w:ascii="仿宋" w:hAnsi="仿宋" w:eastAsia="仿宋" w:cs="仿宋"/>
                <w:sz w:val="24"/>
                <w:szCs w:val="24"/>
                <w:lang w:val="en-US" w:eastAsia="zh-CN" w:bidi="zh-CN"/>
              </w:rPr>
              <w:t>策略名称为“亲密养老理财产品营销策略”，投资产品类型为“</w:t>
            </w:r>
            <w:r>
              <w:rPr>
                <w:rFonts w:hint="eastAsia" w:ascii="仿宋" w:hAnsi="仿宋" w:eastAsia="仿宋" w:cs="仿宋"/>
                <w:sz w:val="24"/>
                <w:szCs w:val="24"/>
                <w:lang w:val="en-US" w:eastAsia="zh-CN"/>
              </w:rPr>
              <w:t>理财产品</w:t>
            </w:r>
            <w:r>
              <w:rPr>
                <w:rFonts w:hint="eastAsia" w:ascii="仿宋" w:hAnsi="仿宋" w:eastAsia="仿宋" w:cs="仿宋"/>
                <w:sz w:val="24"/>
                <w:szCs w:val="24"/>
                <w:lang w:val="en-US" w:eastAsia="zh-CN" w:bidi="zh-CN"/>
              </w:rPr>
              <w:t>”，投资产品名称“朴素养老金理财产品”，</w:t>
            </w:r>
            <w:r>
              <w:rPr>
                <w:rFonts w:hint="eastAsia" w:ascii="仿宋" w:hAnsi="仿宋" w:eastAsia="仿宋" w:cs="仿宋"/>
                <w:sz w:val="24"/>
                <w:szCs w:val="24"/>
                <w:lang w:val="en-US" w:eastAsia="zh-CN"/>
              </w:rPr>
              <w:t>产品具有</w:t>
            </w:r>
            <w:r>
              <w:rPr>
                <w:rFonts w:hint="eastAsia" w:ascii="仿宋" w:hAnsi="仿宋" w:eastAsia="仿宋" w:cs="仿宋"/>
                <w:sz w:val="24"/>
                <w:szCs w:val="24"/>
                <w:lang w:val="en-US" w:eastAsia="zh-CN" w:bidi="zh-CN"/>
              </w:rPr>
              <w:t>资金门槛低、收益适中、资金链优势的特点，并使用信息推送的</w:t>
            </w:r>
            <w:r>
              <w:rPr>
                <w:rFonts w:hint="eastAsia" w:ascii="仿宋" w:hAnsi="仿宋" w:eastAsia="仿宋" w:cs="仿宋"/>
                <w:sz w:val="24"/>
                <w:szCs w:val="24"/>
                <w:lang w:val="en-US" w:eastAsia="zh-CN"/>
              </w:rPr>
              <w:t>促销策略。朴星宇在写业务营销方案时，主要突出了理财产品的资金门槛优势和资金链优势，活动文案主要包含内容有活动截止时间、活动给出的优惠礼品等福利，完成营销策略的制定后，朴星宇在2023年4月4日海南省三亚市海棠区实施活动上线，以</w:t>
            </w:r>
            <w:r>
              <w:rPr>
                <w:rFonts w:hint="eastAsia" w:ascii="仿宋" w:hAnsi="仿宋" w:eastAsia="仿宋" w:cs="仿宋"/>
                <w:sz w:val="24"/>
                <w:szCs w:val="24"/>
                <w:lang w:val="en-US" w:eastAsia="zh-CN" w:bidi="zh-CN"/>
              </w:rPr>
              <w:t>人员推销的方式</w:t>
            </w:r>
            <w:r>
              <w:rPr>
                <w:rFonts w:hint="eastAsia" w:ascii="仿宋" w:hAnsi="仿宋" w:eastAsia="仿宋" w:cs="仿宋"/>
                <w:sz w:val="24"/>
                <w:szCs w:val="24"/>
                <w:lang w:val="en-US" w:eastAsia="zh-CN"/>
              </w:rPr>
              <w:t>力争完成用户群的精准营销，实现银行理财产品利益最大化。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8004"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vMerge w:val="restart"/>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489"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628" w:type="dxa"/>
            <w:gridSpan w:val="2"/>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230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1867"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71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89"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1628" w:type="dxa"/>
            <w:gridSpan w:val="2"/>
            <w:noWrap w:val="0"/>
            <w:vAlign w:val="center"/>
          </w:tcPr>
          <w:p>
            <w:pPr>
              <w:snapToGrid w:val="0"/>
              <w:spacing w:line="240" w:lineRule="auto"/>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运用数据采集技术和大数据风控技术，完成自然人信用管理（信用数据采集和报告查询）、完成面向个人消费金融贷款业务处理、完成个人贷前、贷中和贷后管理</w:t>
            </w:r>
          </w:p>
        </w:tc>
        <w:tc>
          <w:tcPr>
            <w:tcW w:w="2305" w:type="dxa"/>
            <w:noWrap w:val="0"/>
            <w:vAlign w:val="center"/>
          </w:tcPr>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1.采集个人信用信息，形成个人信用报告</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2.审批个人信用报告申请</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3.申请个人消费贷款</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4.创建风险识别模型</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5.贷前管理审批</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6.贷中管理审批</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7.签订借款合同</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8.发放贷款</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9.贷后管理</w:t>
            </w:r>
          </w:p>
          <w:p>
            <w:pPr>
              <w:numPr>
                <w:ilvl w:val="0"/>
                <w:numId w:val="0"/>
              </w:numPr>
              <w:spacing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10.接入客服服务</w:t>
            </w:r>
          </w:p>
        </w:tc>
        <w:tc>
          <w:tcPr>
            <w:tcW w:w="1867"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1.采集个人信用数据流程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2.获取个人信用报告流程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3.申请个人消费贷款流程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4.申请个人消费贷款信息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5.大数据风控流程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6.签订借款合同流程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7.贷前管理、贷中管理、贷后管理流程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8.客服服务流程</w:t>
            </w:r>
          </w:p>
        </w:tc>
        <w:tc>
          <w:tcPr>
            <w:tcW w:w="715"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45"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89"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子任务1-2</w:t>
            </w:r>
          </w:p>
        </w:tc>
        <w:tc>
          <w:tcPr>
            <w:tcW w:w="1628"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auto"/>
                <w:spacing w:val="-3"/>
                <w:sz w:val="24"/>
                <w:szCs w:val="24"/>
                <w:lang w:val="en-US" w:eastAsia="zh-CN" w:bidi="zh-CN"/>
              </w:rPr>
              <w:t>运用数据采集技术和大数据风控技术，完成企业信用管理（信用数据采集和报告查询）、面向小微企业借贷业务、完成企业贷前管、贷中和贷后管理</w:t>
            </w:r>
          </w:p>
        </w:tc>
        <w:tc>
          <w:tcPr>
            <w:tcW w:w="2305" w:type="dxa"/>
            <w:noWrap w:val="0"/>
            <w:vAlign w:val="center"/>
          </w:tcPr>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1.采集企业信用信息形成企业信用报告</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2.审批企业信用报告申请</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3.申请企业消费贷款</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4.创建风险识别模型</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5.贷前管理审批</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6.贷中管理审批</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7.签订借款合同</w:t>
            </w:r>
          </w:p>
          <w:p>
            <w:pPr>
              <w:numPr>
                <w:ilvl w:val="0"/>
                <w:numId w:val="0"/>
              </w:numPr>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8.发放贷款</w:t>
            </w:r>
          </w:p>
          <w:p>
            <w:pPr>
              <w:numPr>
                <w:ilvl w:val="0"/>
                <w:numId w:val="0"/>
              </w:numPr>
              <w:spacing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9.贷后管理</w:t>
            </w:r>
          </w:p>
          <w:p>
            <w:pPr>
              <w:numPr>
                <w:ilvl w:val="0"/>
                <w:numId w:val="0"/>
              </w:numPr>
              <w:spacing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10.接入客服服务</w:t>
            </w:r>
          </w:p>
        </w:tc>
        <w:tc>
          <w:tcPr>
            <w:tcW w:w="1867"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1.采集</w:t>
            </w:r>
            <w:r>
              <w:rPr>
                <w:rFonts w:hint="eastAsia" w:ascii="仿宋" w:hAnsi="仿宋" w:eastAsia="仿宋" w:cs="仿宋"/>
                <w:sz w:val="24"/>
                <w:szCs w:val="24"/>
                <w:lang w:val="en-US" w:eastAsia="zh-CN"/>
              </w:rPr>
              <w:t>企业</w:t>
            </w:r>
            <w:r>
              <w:rPr>
                <w:rFonts w:hint="eastAsia" w:ascii="仿宋" w:hAnsi="仿宋" w:eastAsia="仿宋" w:cs="仿宋"/>
                <w:color w:val="000000"/>
                <w:sz w:val="24"/>
                <w:szCs w:val="24"/>
                <w:highlight w:val="none"/>
                <w:lang w:val="en-US" w:eastAsia="zh-CN"/>
              </w:rPr>
              <w:t>信用数据流程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2.获取</w:t>
            </w:r>
            <w:r>
              <w:rPr>
                <w:rFonts w:hint="eastAsia" w:ascii="仿宋" w:hAnsi="仿宋" w:eastAsia="仿宋" w:cs="仿宋"/>
                <w:sz w:val="24"/>
                <w:szCs w:val="24"/>
                <w:lang w:val="en-US" w:eastAsia="zh-CN"/>
              </w:rPr>
              <w:t>企业</w:t>
            </w:r>
            <w:r>
              <w:rPr>
                <w:rFonts w:hint="eastAsia" w:ascii="仿宋" w:hAnsi="仿宋" w:eastAsia="仿宋" w:cs="仿宋"/>
                <w:color w:val="000000"/>
                <w:sz w:val="24"/>
                <w:szCs w:val="24"/>
                <w:highlight w:val="none"/>
                <w:lang w:val="en-US" w:eastAsia="zh-CN"/>
              </w:rPr>
              <w:t>信用报告流程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3.申请</w:t>
            </w:r>
            <w:r>
              <w:rPr>
                <w:rFonts w:hint="eastAsia" w:ascii="仿宋" w:hAnsi="仿宋" w:eastAsia="仿宋" w:cs="仿宋"/>
                <w:sz w:val="24"/>
                <w:szCs w:val="24"/>
                <w:lang w:val="en-US" w:eastAsia="zh-CN"/>
              </w:rPr>
              <w:t>企业</w:t>
            </w:r>
            <w:r>
              <w:rPr>
                <w:rFonts w:hint="eastAsia" w:ascii="仿宋" w:hAnsi="仿宋" w:eastAsia="仿宋" w:cs="仿宋"/>
                <w:color w:val="000000"/>
                <w:sz w:val="24"/>
                <w:szCs w:val="24"/>
                <w:highlight w:val="none"/>
                <w:lang w:val="en-US" w:eastAsia="zh-CN"/>
              </w:rPr>
              <w:t>消费贷款流程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4.申请</w:t>
            </w:r>
            <w:r>
              <w:rPr>
                <w:rFonts w:hint="eastAsia" w:ascii="仿宋" w:hAnsi="仿宋" w:eastAsia="仿宋" w:cs="仿宋"/>
                <w:sz w:val="24"/>
                <w:szCs w:val="24"/>
                <w:lang w:val="en-US" w:eastAsia="zh-CN"/>
              </w:rPr>
              <w:t>企业</w:t>
            </w:r>
            <w:r>
              <w:rPr>
                <w:rFonts w:hint="eastAsia" w:ascii="仿宋" w:hAnsi="仿宋" w:eastAsia="仿宋" w:cs="仿宋"/>
                <w:color w:val="000000"/>
                <w:sz w:val="24"/>
                <w:szCs w:val="24"/>
                <w:highlight w:val="none"/>
                <w:lang w:val="en-US" w:eastAsia="zh-CN"/>
              </w:rPr>
              <w:t>消费贷款信息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5.大数据分控流程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6.签订借款合同流程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7.贷前管理、贷中管理、贷后管理流程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8.客服服务流程</w:t>
            </w:r>
          </w:p>
        </w:tc>
        <w:tc>
          <w:tcPr>
            <w:tcW w:w="715"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45"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89"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子任务1-3</w:t>
            </w:r>
          </w:p>
        </w:tc>
        <w:tc>
          <w:tcPr>
            <w:tcW w:w="1628"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b w:val="0"/>
                <w:bCs w:val="0"/>
                <w:color w:val="auto"/>
                <w:spacing w:val="-3"/>
                <w:sz w:val="24"/>
                <w:szCs w:val="24"/>
                <w:lang w:val="en-US" w:eastAsia="zh-CN" w:bidi="zh-CN"/>
              </w:rPr>
              <w:t>完成个人养老金开户及理财投资、个人养老金个税减免</w:t>
            </w:r>
          </w:p>
        </w:tc>
        <w:tc>
          <w:tcPr>
            <w:tcW w:w="2305"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1.个人养老金开户</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2.养老金开户审批</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3.申请养老金个税减免</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4.发布养老金理财产品和基金产品</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5.制定养老金投资方案</w:t>
            </w:r>
          </w:p>
        </w:tc>
        <w:tc>
          <w:tcPr>
            <w:tcW w:w="1867"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1.个人养老金开户流程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2.个人养老金个税减免流程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3.制定养老金投资方案流程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4.理财产品和基金产品信息</w:t>
            </w:r>
          </w:p>
        </w:tc>
        <w:tc>
          <w:tcPr>
            <w:tcW w:w="715"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1245"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89"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子任务1-4</w:t>
            </w:r>
          </w:p>
        </w:tc>
        <w:tc>
          <w:tcPr>
            <w:tcW w:w="1628"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bidi="zh-CN"/>
              </w:rPr>
            </w:pPr>
            <w:r>
              <w:rPr>
                <w:rFonts w:hint="eastAsia" w:ascii="仿宋" w:hAnsi="仿宋" w:eastAsia="仿宋" w:cs="仿宋"/>
                <w:color w:val="000000"/>
                <w:sz w:val="24"/>
                <w:szCs w:val="24"/>
                <w:highlight w:val="none"/>
                <w:lang w:val="en-US" w:eastAsia="zh-CN" w:bidi="zh-CN"/>
              </w:rPr>
              <w:t>运用金融产品推广与营销技术完成金融活动实施业务</w:t>
            </w:r>
          </w:p>
        </w:tc>
        <w:tc>
          <w:tcPr>
            <w:tcW w:w="2305"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1.金融产品客户画像分析</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2.营销方案设计</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3.业务营销方案撰写</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4.活动文案写作</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5.营销方案实施</w:t>
            </w:r>
          </w:p>
        </w:tc>
        <w:tc>
          <w:tcPr>
            <w:tcW w:w="1867"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1.客户画像分析流程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2.营销方案设计流程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3.业务营销方案信息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4.活动文案信息</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用户画像分析流程</w:t>
            </w:r>
          </w:p>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5.营销方案实施流程</w:t>
            </w:r>
          </w:p>
        </w:tc>
        <w:tc>
          <w:tcPr>
            <w:tcW w:w="715"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245"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89"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628" w:type="dxa"/>
            <w:gridSpan w:val="2"/>
            <w:noWrap w:val="0"/>
            <w:vAlign w:val="center"/>
          </w:tcPr>
          <w:p>
            <w:pPr>
              <w:jc w:val="center"/>
              <w:rPr>
                <w:rFonts w:hint="eastAsia" w:ascii="仿宋" w:hAnsi="仿宋" w:eastAsia="仿宋" w:cs="仿宋"/>
                <w:color w:val="000000"/>
                <w:sz w:val="24"/>
                <w:szCs w:val="24"/>
                <w:highlight w:val="none"/>
                <w:lang w:val="en-US" w:eastAsia="zh-CN" w:bidi="zh-CN"/>
              </w:rPr>
            </w:pPr>
            <w:r>
              <w:rPr>
                <w:rFonts w:hint="eastAsia" w:ascii="仿宋" w:hAnsi="仿宋" w:eastAsia="仿宋" w:cs="仿宋"/>
                <w:sz w:val="24"/>
                <w:szCs w:val="24"/>
                <w:highlight w:val="none"/>
              </w:rPr>
              <w:t>更多样题详见题库素材包</w:t>
            </w:r>
          </w:p>
        </w:tc>
        <w:tc>
          <w:tcPr>
            <w:tcW w:w="2305" w:type="dxa"/>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_GB2312" w:eastAsia="仿宋_GB2312"/>
                <w:sz w:val="24"/>
                <w:szCs w:val="24"/>
              </w:rPr>
              <w:t>......</w:t>
            </w:r>
          </w:p>
        </w:tc>
        <w:tc>
          <w:tcPr>
            <w:tcW w:w="1867" w:type="dxa"/>
            <w:noWrap w:val="0"/>
            <w:vAlign w:val="center"/>
          </w:tcPr>
          <w:p>
            <w:pPr>
              <w:numPr>
                <w:ilvl w:val="0"/>
                <w:numId w:val="0"/>
              </w:numPr>
              <w:spacing w:after="0" w:line="240" w:lineRule="auto"/>
              <w:ind w:leftChars="0"/>
              <w:rPr>
                <w:rFonts w:hint="eastAsia" w:ascii="仿宋" w:hAnsi="仿宋" w:eastAsia="仿宋" w:cs="仿宋"/>
                <w:color w:val="000000"/>
                <w:sz w:val="24"/>
                <w:szCs w:val="24"/>
                <w:highlight w:val="none"/>
                <w:lang w:val="en-US" w:eastAsia="zh-CN"/>
              </w:rPr>
            </w:pPr>
          </w:p>
        </w:tc>
        <w:tc>
          <w:tcPr>
            <w:tcW w:w="715" w:type="dxa"/>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vMerge w:val="restart"/>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2461"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5543" w:type="dxa"/>
            <w:gridSpan w:val="4"/>
            <w:noWrap w:val="0"/>
            <w:vAlign w:val="center"/>
          </w:tcPr>
          <w:p>
            <w:pPr>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1.银行信贷审核与管理、信用产品营销与服务的技能</w:t>
            </w:r>
            <w:r>
              <w:rPr>
                <w:rFonts w:hint="eastAsia" w:ascii="仿宋" w:hAnsi="仿宋" w:cs="仿宋"/>
                <w:color w:val="000000"/>
                <w:sz w:val="24"/>
                <w:szCs w:val="24"/>
                <w:highlight w:val="none"/>
                <w:lang w:val="en-US" w:eastAsia="zh-CN"/>
              </w:rPr>
              <w:t>；</w:t>
            </w:r>
          </w:p>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2.适应信用管理领域数字化发展需求的征信应用能力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vMerge w:val="continue"/>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2461" w:type="dxa"/>
            <w:gridSpan w:val="2"/>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5543" w:type="dxa"/>
            <w:gridSpan w:val="4"/>
            <w:noWrap w:val="0"/>
            <w:vAlign w:val="center"/>
          </w:tcPr>
          <w:p>
            <w:pPr>
              <w:numPr>
                <w:ilvl w:val="0"/>
                <w:numId w:val="0"/>
              </w:numPr>
              <w:spacing w:after="0" w:line="24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JR/T 0068—2020</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网上银行系统信息安全通用规范</w:t>
            </w:r>
          </w:p>
          <w:p>
            <w:pPr>
              <w:numPr>
                <w:ilvl w:val="0"/>
                <w:numId w:val="0"/>
              </w:numPr>
              <w:spacing w:after="0" w:line="240" w:lineRule="auto"/>
              <w:ind w:leftChars="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JR/T 0116-2014</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银行业标准化工作指南</w:t>
            </w:r>
          </w:p>
          <w:p>
            <w:pPr>
              <w:pStyle w:val="8"/>
              <w:numPr>
                <w:ilvl w:val="0"/>
                <w:numId w:val="0"/>
              </w:numPr>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GB/T 40474-2021</w:t>
            </w:r>
            <w:r>
              <w:rPr>
                <w:rFonts w:hint="eastAsia" w:ascii="仿宋" w:hAnsi="仿宋" w:cs="仿宋"/>
                <w:sz w:val="24"/>
                <w:szCs w:val="24"/>
                <w:lang w:val="en-US" w:eastAsia="zh-CN"/>
              </w:rPr>
              <w:t xml:space="preserve">  </w:t>
            </w:r>
            <w:r>
              <w:rPr>
                <w:rFonts w:hint="eastAsia" w:ascii="仿宋" w:hAnsi="仿宋" w:eastAsia="仿宋" w:cs="仿宋"/>
                <w:sz w:val="24"/>
                <w:szCs w:val="24"/>
              </w:rPr>
              <w:t>银行业应用系统 代码与编码处置指南</w:t>
            </w:r>
          </w:p>
          <w:p>
            <w:pPr>
              <w:pStyle w:val="8"/>
              <w:numPr>
                <w:ilvl w:val="0"/>
                <w:numId w:val="0"/>
              </w:numPr>
              <w:rPr>
                <w:rFonts w:hint="eastAsia"/>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GB/T 32315-2015</w:t>
            </w:r>
            <w:r>
              <w:rPr>
                <w:rFonts w:hint="eastAsia" w:ascii="仿宋" w:hAnsi="仿宋" w:cs="仿宋"/>
                <w:sz w:val="24"/>
                <w:szCs w:val="24"/>
                <w:lang w:val="en-US" w:eastAsia="zh-CN"/>
              </w:rPr>
              <w:t xml:space="preserve">  </w:t>
            </w:r>
            <w:r>
              <w:rPr>
                <w:rFonts w:hint="eastAsia" w:ascii="仿宋" w:hAnsi="仿宋" w:eastAsia="仿宋" w:cs="仿宋"/>
                <w:sz w:val="24"/>
                <w:szCs w:val="24"/>
              </w:rPr>
              <w:t>银行业客户服务中心基本要求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8004"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5" w:type="dxa"/>
            <w:noWrap w:val="0"/>
            <w:vAlign w:val="center"/>
          </w:tcPr>
          <w:p>
            <w:pPr>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8004" w:type="dxa"/>
            <w:gridSpan w:val="6"/>
            <w:noWrap w:val="0"/>
            <w:vAlign w:val="center"/>
          </w:tcPr>
          <w:p>
            <w:pPr>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pStyle w:val="15"/>
        <w:spacing w:line="240" w:lineRule="auto"/>
        <w:rPr>
          <w:rFonts w:hint="eastAsia" w:ascii="仿宋" w:hAnsi="仿宋" w:eastAsia="仿宋" w:cs="仿宋"/>
        </w:rPr>
      </w:pPr>
    </w:p>
    <w:p>
      <w:pPr>
        <w:ind w:firstLine="0" w:firstLineChars="0"/>
        <w:jc w:val="both"/>
        <w:rPr>
          <w:rFonts w:hint="eastAsia"/>
          <w:b/>
          <w:bCs w:val="0"/>
          <w:sz w:val="24"/>
          <w:szCs w:val="24"/>
          <w:lang w:val="en-US" w:eastAsia="zh-CN"/>
        </w:rPr>
      </w:pPr>
      <w:r>
        <w:rPr>
          <w:rFonts w:hint="default" w:ascii="仿宋_GB2312" w:hAnsi="仿宋_GB2312" w:eastAsia="仿宋_GB2312" w:cs="仿宋_GB2312"/>
          <w:b/>
          <w:bCs/>
          <w:color w:val="auto"/>
          <w:sz w:val="28"/>
          <w:szCs w:val="28"/>
          <w:highlight w:val="none"/>
          <w:lang w:val="en-US" w:eastAsia="zh-CN" w:bidi="zh-CN"/>
        </w:rPr>
        <w:t>5.</w:t>
      </w:r>
      <w:r>
        <w:rPr>
          <w:rFonts w:hint="default" w:ascii="仿宋_GB2312" w:hAnsi="仿宋_GB2312" w:eastAsia="仿宋_GB2312" w:cs="仿宋_GB2312"/>
          <w:b/>
          <w:bCs/>
          <w:color w:val="auto"/>
          <w:sz w:val="28"/>
          <w:szCs w:val="28"/>
          <w:highlight w:val="none"/>
          <w:lang w:val="en-US" w:eastAsia="zh-CN"/>
        </w:rPr>
        <w:t>证券业务数字化</w:t>
      </w:r>
    </w:p>
    <w:tbl>
      <w:tblPr>
        <w:tblStyle w:val="16"/>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357"/>
        <w:gridCol w:w="478"/>
        <w:gridCol w:w="1380"/>
        <w:gridCol w:w="1933"/>
        <w:gridCol w:w="1833"/>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1835"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模块5</w:t>
            </w:r>
          </w:p>
        </w:tc>
        <w:tc>
          <w:tcPr>
            <w:tcW w:w="3313"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2854" w:type="dxa"/>
            <w:gridSpan w:val="2"/>
            <w:noWrap w:val="0"/>
            <w:vAlign w:val="center"/>
          </w:tcPr>
          <w:p>
            <w:pPr>
              <w:pStyle w:val="15"/>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1835"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证券业务数字化</w:t>
            </w:r>
          </w:p>
        </w:tc>
        <w:tc>
          <w:tcPr>
            <w:tcW w:w="3313"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2854" w:type="dxa"/>
            <w:gridSpan w:val="2"/>
            <w:noWrap w:val="0"/>
            <w:vAlign w:val="center"/>
          </w:tcPr>
          <w:p>
            <w:pPr>
              <w:pStyle w:val="15"/>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8002"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8002" w:type="dxa"/>
            <w:gridSpan w:val="6"/>
            <w:noWrap w:val="0"/>
            <w:vAlign w:val="center"/>
          </w:tcPr>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随着金融投资概念的普及，越来越多年轻人（大于等于20岁小于等于25岁）加入金融投资的队伍，年轻投资者多数投资属性为积极型并且可用资产在5万元内，于是负责该投资需求的员工A将这些用户命名为“青年积极投资用户群”。员工A通过证券业金融科技平台为“青年积极投资用户群”设计的金融服务方案预计收益率在35.00%以上，波动率不能超过20.00%；投资基金组合中现金管理类占比10%、固定收益类占比20%、权益收益类占比50%、另类及其他占比20%，并且将该投资组合命名为“青年积极投资组合”。选择好对应基金和投资比例后，员工A希望通过调仓将预期收益率提高至40.00%以上，并且波动率不能超过25.00%。完成投资组合设置后，员工A查看了投资组合业绩报告。</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员工B作为投资组合的负责人，使用“智能投研”功能获取市场信息后，对跨境支付、字节概念、电子烟行业进行市场情绪分析并且出具投研报告。</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员工C专门从事程序化交易的策略设计，他计划使用量化交易策略的方式实现青年用户的理财需求，于是员工C基于青年用户预期创建了策略“积极型量化策略”，设定交易策略在N日平均成交额曲线形态为多头时买入，在N日平均成交额曲线形态为空头时卖出。并且设置策略中的个股收益率达到15%时止盈，个股收益率亏损15%时止损；策略整体收益率亏损达到15%时止损，策略整体收益率达到15%时止盈。在查看了股票池中的中芯国际、三一重工、恒瑞医药3支股票对应的公司财务报告后，员工C设置筛选出上海证券交易所、深圳交易所股东权益比率大于35%、研发费用大于3000万元、总资产净利润率大于11%的股票，并且从中选取安克创新、华大基因、北新建材3支股票设置投资比例，并将策略进行回测，回测结果的累计收益率达到10.20%以上，最大回撤不超过4.10%。在进行参数优化后，模拟应用检验的累计收益率达到20.10%以上，最大回撤不超过7.10%。员工C在将各项数据调试到预期水平后，对该策略进行了跟踪监测。</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为提升基金销售业绩，丰富基金销售渠道，基金管理人委托基金销售机构代销“银河创新混合A”基金，并根据协商的代销条件签订了委托代销协议；基金销售机构获得该基金的代销权后根据基金的面向人群制定了名为“银河创新混合A客户服务计划”的个性化服务方案，该方案根据客户的年龄、性别、婚姻状况、教育程度、职业状况、家庭收入、个人收入等信息制作了投资者风险承受能力问卷设计，并为每个问卷得分区间设定了风险等级以及每个风险等级推荐买入的基金类型。</w:t>
            </w:r>
          </w:p>
          <w:p>
            <w:pPr>
              <w:pStyle w:val="15"/>
              <w:spacing w:after="0" w:line="240" w:lineRule="auto"/>
              <w:ind w:left="0" w:leftChars="0"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基金销售机构希望通过制定营销活动来提高基金销售转化率，首先基金销售机构对“青年积极投资用户群”进行了用户画像分析，对用户的个人属性信息进行了分析；接着基金销售机构针对用户群的特征制定了名为“青年用户基金营销策略”的营销方案，营销方案通过广告、推介会、座谈会、网络推销等方式推广基金产品的团队稳定性、业绩稳定性、风险把控、费率、流动性等方面信息；根据客户群不同的职业类型从不同的投资方式入手制定了业务营销方案；最后基金销售机构根据产品特性和营销策略编写了营销活动文案；营销方案审核完成后，基金销售机构于2023年5月1日在“第三方短视频平台”举办了线上推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8002"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restart"/>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357"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858"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1933"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1833"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021"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57"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1858"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利用大数据分析、智能化算法等工具，进行投资者分析,提供个性化、自动化的理财服务</w:t>
            </w:r>
          </w:p>
        </w:tc>
        <w:tc>
          <w:tcPr>
            <w:tcW w:w="19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1.精准选择客户</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b w:val="0"/>
                <w:bCs w:val="0"/>
                <w:color w:val="auto"/>
                <w:spacing w:val="-3"/>
                <w:sz w:val="24"/>
                <w:szCs w:val="24"/>
                <w:lang w:val="en-US" w:eastAsia="zh-CN" w:bidi="zh-CN"/>
              </w:rPr>
              <w:t>设计金融服务方案</w:t>
            </w:r>
          </w:p>
          <w:p>
            <w:pPr>
              <w:pStyle w:val="15"/>
              <w:spacing w:after="0" w:line="240" w:lineRule="auto"/>
              <w:ind w:left="0" w:leftChars="0" w:firstLine="0" w:firstLineChars="0"/>
              <w:rPr>
                <w:rFonts w:hint="eastAsia" w:ascii="仿宋" w:hAnsi="仿宋" w:eastAsia="仿宋" w:cs="仿宋"/>
                <w:b w:val="0"/>
                <w:bCs w:val="0"/>
                <w:color w:val="auto"/>
                <w:spacing w:val="-3"/>
                <w:sz w:val="24"/>
                <w:szCs w:val="24"/>
                <w:lang w:val="en-US" w:eastAsia="zh-CN" w:bidi="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b w:val="0"/>
                <w:bCs w:val="0"/>
                <w:color w:val="auto"/>
                <w:spacing w:val="-3"/>
                <w:sz w:val="24"/>
                <w:szCs w:val="24"/>
                <w:lang w:val="en-US" w:eastAsia="zh-CN" w:bidi="zh-CN"/>
              </w:rPr>
              <w:t>构建投资组合</w:t>
            </w:r>
          </w:p>
          <w:p>
            <w:pPr>
              <w:pStyle w:val="15"/>
              <w:spacing w:after="0" w:line="240" w:lineRule="auto"/>
              <w:ind w:left="0" w:leftChars="0" w:firstLine="0" w:firstLineChars="0"/>
              <w:rPr>
                <w:rFonts w:hint="eastAsia" w:ascii="仿宋" w:hAnsi="仿宋" w:eastAsia="仿宋" w:cs="仿宋"/>
                <w:b w:val="0"/>
                <w:bCs w:val="0"/>
                <w:color w:val="auto"/>
                <w:spacing w:val="-3"/>
                <w:sz w:val="24"/>
                <w:szCs w:val="24"/>
                <w:lang w:val="en-US" w:eastAsia="zh-CN" w:bidi="zh-CN"/>
              </w:rPr>
            </w:pPr>
            <w:r>
              <w:rPr>
                <w:rFonts w:hint="eastAsia" w:ascii="仿宋" w:hAnsi="仿宋" w:eastAsia="仿宋" w:cs="仿宋"/>
                <w:b w:val="0"/>
                <w:bCs w:val="0"/>
                <w:color w:val="auto"/>
                <w:spacing w:val="-3"/>
                <w:sz w:val="24"/>
                <w:szCs w:val="24"/>
                <w:lang w:val="en-US" w:eastAsia="zh-CN" w:bidi="zh-CN"/>
              </w:rPr>
              <w:t>4.投资组合调仓</w:t>
            </w:r>
          </w:p>
          <w:p>
            <w:pPr>
              <w:pStyle w:val="15"/>
              <w:spacing w:after="0" w:line="240" w:lineRule="auto"/>
              <w:ind w:left="0" w:leftChars="0" w:firstLine="0" w:firstLineChars="0"/>
              <w:rPr>
                <w:rFonts w:hint="eastAsia" w:ascii="仿宋" w:hAnsi="仿宋" w:eastAsia="仿宋" w:cs="仿宋"/>
                <w:b w:val="0"/>
                <w:bCs w:val="0"/>
                <w:color w:val="auto"/>
                <w:spacing w:val="-3"/>
                <w:sz w:val="24"/>
                <w:szCs w:val="24"/>
                <w:lang w:val="en-US" w:eastAsia="zh-CN" w:bidi="zh-CN"/>
              </w:rPr>
            </w:pPr>
            <w:r>
              <w:rPr>
                <w:rFonts w:hint="eastAsia" w:ascii="仿宋" w:hAnsi="仿宋" w:eastAsia="仿宋" w:cs="仿宋"/>
                <w:b w:val="0"/>
                <w:bCs w:val="0"/>
                <w:color w:val="auto"/>
                <w:spacing w:val="-3"/>
                <w:sz w:val="24"/>
                <w:szCs w:val="24"/>
                <w:lang w:val="en-US" w:eastAsia="zh-CN" w:bidi="zh-CN"/>
              </w:rPr>
              <w:t>5.获取投资业绩报告</w:t>
            </w:r>
          </w:p>
          <w:p>
            <w:pPr>
              <w:pStyle w:val="15"/>
              <w:spacing w:after="0" w:line="240" w:lineRule="auto"/>
              <w:ind w:left="0" w:leftChars="0" w:firstLine="0" w:firstLineChars="0"/>
              <w:rPr>
                <w:rFonts w:hint="eastAsia" w:ascii="仿宋" w:hAnsi="仿宋" w:eastAsia="仿宋" w:cs="仿宋"/>
                <w:b w:val="0"/>
                <w:bCs w:val="0"/>
                <w:color w:val="auto"/>
                <w:spacing w:val="-3"/>
                <w:sz w:val="24"/>
                <w:szCs w:val="24"/>
                <w:lang w:val="en-US" w:eastAsia="zh-CN" w:bidi="zh-CN"/>
              </w:rPr>
            </w:pPr>
          </w:p>
        </w:tc>
        <w:tc>
          <w:tcPr>
            <w:tcW w:w="1833" w:type="dxa"/>
            <w:noWrap w:val="0"/>
            <w:vAlign w:val="center"/>
          </w:tcPr>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1.客户群筛选信息</w:t>
            </w:r>
          </w:p>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2.金融服务方案信息</w:t>
            </w:r>
          </w:p>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3.投资组合构建方案信息</w:t>
            </w:r>
          </w:p>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4.投资组合调仓流程</w:t>
            </w:r>
          </w:p>
          <w:p>
            <w:pPr>
              <w:pStyle w:val="15"/>
              <w:spacing w:after="0" w:line="240" w:lineRule="auto"/>
              <w:ind w:left="0" w:leftChars="0" w:firstLine="0" w:firstLine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5.智能投顾业务流程</w:t>
            </w:r>
          </w:p>
        </w:tc>
        <w:tc>
          <w:tcPr>
            <w:tcW w:w="102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57"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子任务1-2</w:t>
            </w:r>
          </w:p>
        </w:tc>
        <w:tc>
          <w:tcPr>
            <w:tcW w:w="1858"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运用投资分析、资产配置技术完成智能投研业务</w:t>
            </w:r>
          </w:p>
        </w:tc>
        <w:tc>
          <w:tcPr>
            <w:tcW w:w="1933"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1.整合市场信息</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2.分析市场投资情绪</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3.输出投研报告</w:t>
            </w:r>
          </w:p>
        </w:tc>
        <w:tc>
          <w:tcPr>
            <w:tcW w:w="18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1.市场信息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2.分析市场情绪流程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3.智能投研业务流程</w:t>
            </w:r>
          </w:p>
        </w:tc>
        <w:tc>
          <w:tcPr>
            <w:tcW w:w="102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57"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子任务1-3</w:t>
            </w:r>
          </w:p>
        </w:tc>
        <w:tc>
          <w:tcPr>
            <w:tcW w:w="1858"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运用证券投资分析、量化投资、金融风险管理技术完成</w:t>
            </w:r>
            <w:r>
              <w:rPr>
                <w:rFonts w:hint="eastAsia" w:ascii="仿宋" w:hAnsi="仿宋" w:eastAsia="仿宋" w:cs="仿宋"/>
                <w:b w:val="0"/>
                <w:bCs w:val="0"/>
                <w:color w:val="auto"/>
                <w:spacing w:val="-3"/>
                <w:sz w:val="24"/>
                <w:szCs w:val="24"/>
                <w:lang w:val="en-US" w:eastAsia="zh-CN" w:bidi="zh-CN"/>
              </w:rPr>
              <w:t>程序化交易业务</w:t>
            </w:r>
          </w:p>
        </w:tc>
        <w:tc>
          <w:tcPr>
            <w:tcW w:w="1933"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1.制定交易策略</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2.财务分析</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3.证券产品分析与交易</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4.历史数据回测</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5.参数优化</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6.模拟应用检验</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7.跟踪监测</w:t>
            </w:r>
          </w:p>
        </w:tc>
        <w:tc>
          <w:tcPr>
            <w:tcW w:w="1833"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1.交易策略信息</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2.财务分析流程</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3.条件选股信息</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4.参数优化信息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kern w:val="2"/>
                <w:sz w:val="24"/>
                <w:szCs w:val="24"/>
                <w:highlight w:val="none"/>
                <w:lang w:val="en-US" w:eastAsia="zh-CN" w:bidi="ar-SA"/>
              </w:rPr>
              <w:t>5.</w:t>
            </w:r>
            <w:r>
              <w:rPr>
                <w:rFonts w:hint="eastAsia" w:ascii="仿宋" w:hAnsi="仿宋" w:eastAsia="仿宋" w:cs="仿宋"/>
                <w:b w:val="0"/>
                <w:bCs w:val="0"/>
                <w:color w:val="auto"/>
                <w:spacing w:val="-3"/>
                <w:sz w:val="24"/>
                <w:szCs w:val="24"/>
                <w:lang w:val="en-US" w:eastAsia="zh-CN" w:bidi="zh-CN"/>
              </w:rPr>
              <w:t>程序化交易流程</w:t>
            </w:r>
          </w:p>
        </w:tc>
        <w:tc>
          <w:tcPr>
            <w:tcW w:w="102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57"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子任务1-4</w:t>
            </w:r>
          </w:p>
        </w:tc>
        <w:tc>
          <w:tcPr>
            <w:tcW w:w="1858"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运用金融营销、客户开发与服务技术完成互联网基金销售及个性化服务</w:t>
            </w:r>
          </w:p>
        </w:tc>
        <w:tc>
          <w:tcPr>
            <w:tcW w:w="19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1.签订基金代销协议</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2.制定客户服务计划</w:t>
            </w:r>
          </w:p>
        </w:tc>
        <w:tc>
          <w:tcPr>
            <w:tcW w:w="18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1.互联网基金销售流程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2.客户服务计划信息</w:t>
            </w:r>
          </w:p>
        </w:tc>
        <w:tc>
          <w:tcPr>
            <w:tcW w:w="102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57"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子任务1-5</w:t>
            </w:r>
          </w:p>
        </w:tc>
        <w:tc>
          <w:tcPr>
            <w:tcW w:w="1858"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运用金融产品推广与营销技术完成证券产品营销业务</w:t>
            </w:r>
          </w:p>
        </w:tc>
        <w:tc>
          <w:tcPr>
            <w:tcW w:w="19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1.证券产品客户画像分析</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2.营销方案设计</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3.业务营销方案撰写</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4.活动文案写作</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5.营销方案实施</w:t>
            </w:r>
          </w:p>
        </w:tc>
        <w:tc>
          <w:tcPr>
            <w:tcW w:w="18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1.客户画像分析流程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2.营销方案设计流程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3.业务营销方案信息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4.活动文案信息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5.营销方案实施流程</w:t>
            </w:r>
          </w:p>
        </w:tc>
        <w:tc>
          <w:tcPr>
            <w:tcW w:w="102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57"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858" w:type="dxa"/>
            <w:gridSpan w:val="2"/>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highlight w:val="none"/>
              </w:rPr>
              <w:t>更多样题详见题库素材包</w:t>
            </w:r>
          </w:p>
        </w:tc>
        <w:tc>
          <w:tcPr>
            <w:tcW w:w="1933" w:type="dxa"/>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_GB2312" w:eastAsia="仿宋_GB2312"/>
                <w:sz w:val="24"/>
                <w:szCs w:val="24"/>
              </w:rPr>
              <w:t>......</w:t>
            </w:r>
          </w:p>
        </w:tc>
        <w:tc>
          <w:tcPr>
            <w:tcW w:w="1833"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c>
          <w:tcPr>
            <w:tcW w:w="102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restart"/>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1835"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6167" w:type="dxa"/>
            <w:gridSpan w:val="4"/>
            <w:noWrap w:val="0"/>
            <w:vAlign w:val="center"/>
          </w:tcPr>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1.为客户提供证券经纪、期货经纪、投资分析、投资咨询等服务的能力；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2.为客户进行理财规划和配置资产的能力；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3.向客户进行金融产品推广和营销的能力；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4.使用办公软件、行情软件、客服软件等处理信息技术的能力；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5.使用金融领域基本数字化工具的能力；</w:t>
            </w:r>
          </w:p>
          <w:p>
            <w:pPr>
              <w:pStyle w:val="15"/>
              <w:spacing w:after="0" w:line="240" w:lineRule="auto"/>
              <w:ind w:left="0" w:leftChars="0" w:firstLine="0" w:firstLine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6.依照证券市场基本法律法规、行业相关绿色生产、安全防护、质量管理等要求办理相关业务的能力；</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auto"/>
                <w:sz w:val="24"/>
                <w:szCs w:val="24"/>
                <w:highlight w:val="none"/>
                <w:shd w:val="clear" w:color="auto" w:fill="auto"/>
                <w:lang w:val="en-US" w:eastAsia="zh-CN"/>
              </w:rPr>
              <w:t>7.运用创新意识、互联网思维研究并解决问题的能力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835"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6167" w:type="dxa"/>
            <w:gridSpan w:val="4"/>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JR/T 0175—2019</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证券期货业软件测试规范</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JR/T 0112-2014</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证券期货业信息系统审计规范</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JR/T 0192—2020</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证券期货业移动互联网应用程序安全规范</w:t>
            </w:r>
          </w:p>
          <w:p>
            <w:pP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JR/T 0191—2020</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证券期货业软件测试指南 软件安全测试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8002"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8002"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ind w:firstLine="0" w:firstLineChars="0"/>
        <w:jc w:val="center"/>
        <w:rPr>
          <w:rFonts w:hint="eastAsia" w:ascii="仿宋" w:hAnsi="仿宋" w:eastAsia="仿宋" w:cs="仿宋"/>
          <w:b/>
          <w:color w:val="000000"/>
          <w:sz w:val="24"/>
          <w:szCs w:val="24"/>
          <w:highlight w:val="none"/>
          <w:lang w:val="en-US" w:eastAsia="zh-CN" w:bidi="zh-CN"/>
        </w:rPr>
      </w:pPr>
    </w:p>
    <w:p>
      <w:pPr>
        <w:adjustRightInd w:val="0"/>
        <w:snapToGrid w:val="0"/>
        <w:spacing w:line="360" w:lineRule="auto"/>
        <w:ind w:right="-92" w:rightChars="-44" w:firstLine="562" w:firstLineChars="200"/>
        <w:jc w:val="left"/>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color w:val="auto"/>
          <w:sz w:val="28"/>
          <w:szCs w:val="28"/>
          <w:highlight w:val="none"/>
          <w:lang w:val="en-US" w:eastAsia="zh-CN" w:bidi="zh-CN"/>
        </w:rPr>
        <w:t>6.</w:t>
      </w:r>
      <w:r>
        <w:rPr>
          <w:rFonts w:hint="default" w:ascii="仿宋_GB2312" w:hAnsi="仿宋_GB2312" w:eastAsia="仿宋_GB2312" w:cs="仿宋_GB2312"/>
          <w:b/>
          <w:bCs/>
          <w:color w:val="auto"/>
          <w:sz w:val="28"/>
          <w:szCs w:val="28"/>
          <w:highlight w:val="none"/>
          <w:lang w:val="en-US" w:eastAsia="zh-CN"/>
        </w:rPr>
        <w:t>保险业业务数字化</w:t>
      </w:r>
    </w:p>
    <w:tbl>
      <w:tblPr>
        <w:tblStyle w:val="16"/>
        <w:tblW w:w="9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474"/>
        <w:gridCol w:w="759"/>
        <w:gridCol w:w="975"/>
        <w:gridCol w:w="1755"/>
        <w:gridCol w:w="237"/>
        <w:gridCol w:w="1520"/>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2233"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模块6</w:t>
            </w:r>
          </w:p>
        </w:tc>
        <w:tc>
          <w:tcPr>
            <w:tcW w:w="2967" w:type="dxa"/>
            <w:gridSpan w:val="3"/>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2683"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2233"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保险业业务数字化</w:t>
            </w:r>
          </w:p>
        </w:tc>
        <w:tc>
          <w:tcPr>
            <w:tcW w:w="2967" w:type="dxa"/>
            <w:gridSpan w:val="3"/>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2683"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7883" w:type="dxa"/>
            <w:gridSpan w:val="7"/>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7883" w:type="dxa"/>
            <w:gridSpan w:val="7"/>
            <w:noWrap w:val="0"/>
            <w:vAlign w:val="center"/>
          </w:tcPr>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480" w:firstLineChars="200"/>
              <w:jc w:val="both"/>
              <w:rPr>
                <w:rFonts w:hint="eastAsia" w:ascii="仿宋" w:hAnsi="仿宋" w:eastAsia="仿宋" w:cs="仿宋"/>
              </w:rPr>
            </w:pPr>
            <w:r>
              <w:rPr>
                <w:rFonts w:hint="eastAsia" w:ascii="仿宋" w:hAnsi="仿宋" w:eastAsia="仿宋" w:cs="仿宋"/>
                <w:sz w:val="24"/>
                <w:szCs w:val="24"/>
              </w:rPr>
              <w:t>随着社会飞速发展，企业加班文化逐渐严重，部分互联网企业出现过员工加班过劳猝死的事故。保险公司针对这种社会问题，设计了一款适用人群主要是25岁至45岁人群的“工作意外险”，属于健康险类型并且保障计划中包括2个项目：“医疗保障”中的“猝死、重大疾病、住院误工津贴”、“健康保障”中的“一般医疗费用保险责任”并且是一款期限为“三十年”的保险。考量到保险受众的经济能力后，对保险进行了保险范围和保费金额及定价的设置。</w:t>
            </w:r>
          </w:p>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480" w:firstLineChars="200"/>
              <w:jc w:val="both"/>
              <w:rPr>
                <w:rFonts w:hint="eastAsia" w:ascii="仿宋" w:hAnsi="仿宋" w:eastAsia="仿宋" w:cs="仿宋"/>
                <w:sz w:val="24"/>
                <w:szCs w:val="24"/>
              </w:rPr>
            </w:pPr>
            <w:r>
              <w:rPr>
                <w:rFonts w:hint="eastAsia" w:ascii="仿宋" w:hAnsi="仿宋" w:eastAsia="仿宋" w:cs="仿宋"/>
                <w:sz w:val="24"/>
                <w:szCs w:val="24"/>
              </w:rPr>
              <w:t>针对新产品的属性，</w:t>
            </w:r>
            <w:r>
              <w:rPr>
                <w:rFonts w:hint="eastAsia" w:ascii="仿宋" w:hAnsi="仿宋" w:eastAsia="仿宋" w:cs="仿宋"/>
                <w:sz w:val="24"/>
                <w:szCs w:val="24"/>
                <w:lang w:val="en-US" w:eastAsia="zh-CN"/>
              </w:rPr>
              <w:t>保险公司</w:t>
            </w:r>
            <w:r>
              <w:rPr>
                <w:rFonts w:hint="eastAsia" w:ascii="仿宋" w:hAnsi="仿宋" w:eastAsia="仿宋" w:cs="仿宋"/>
                <w:sz w:val="24"/>
                <w:szCs w:val="24"/>
              </w:rPr>
              <w:t>筛选出年龄在“25岁及以上45岁及以下”，并且投保年限“终身”的客户，并将客户群命名为“工作意外险项目客户群”。建立好目标客户后，营销人员准备针对“工作意外险项目客户群”定期开始，每周进行“短信”营销。确定好方案后将方案命名为“工作意外险项目营销方案”并在“达成销售”模块查看了销售数据，确认销售情况。</w:t>
            </w:r>
          </w:p>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480" w:firstLineChars="20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为加大“工作意外险”的宣传力度，保险公司针对</w:t>
            </w:r>
            <w:r>
              <w:rPr>
                <w:rFonts w:hint="eastAsia" w:ascii="仿宋" w:hAnsi="仿宋" w:eastAsia="仿宋" w:cs="仿宋"/>
                <w:sz w:val="24"/>
                <w:szCs w:val="24"/>
              </w:rPr>
              <w:t>“工作意外险项目客户群”</w:t>
            </w:r>
            <w:r>
              <w:rPr>
                <w:rFonts w:hint="eastAsia" w:ascii="仿宋" w:hAnsi="仿宋" w:eastAsia="仿宋" w:cs="仿宋"/>
                <w:sz w:val="24"/>
                <w:szCs w:val="24"/>
                <w:lang w:val="en-US" w:eastAsia="zh-CN"/>
              </w:rPr>
              <w:t>进行了用户画像分析，对用户的个人属性进行了分析；随后制定“工作意外险项目”营销策略，营销方案通过</w:t>
            </w:r>
            <w:r>
              <w:rPr>
                <w:rFonts w:hint="eastAsia" w:ascii="仿宋" w:hAnsi="仿宋" w:eastAsia="仿宋" w:cs="仿宋"/>
                <w:sz w:val="24"/>
                <w:szCs w:val="24"/>
                <w:highlight w:val="none"/>
                <w:lang w:val="en-US" w:eastAsia="zh-CN" w:bidi="zh-CN"/>
              </w:rPr>
              <w:t>广告、推介会、座谈会、报刊等方式推广保险产品</w:t>
            </w:r>
            <w:r>
              <w:rPr>
                <w:rFonts w:hint="eastAsia" w:ascii="仿宋" w:hAnsi="仿宋" w:eastAsia="仿宋" w:cs="仿宋"/>
                <w:sz w:val="24"/>
                <w:szCs w:val="24"/>
                <w:lang w:val="en-US" w:eastAsia="zh-CN" w:bidi="zh-CN"/>
              </w:rPr>
              <w:t>杠杆高、提供伤残保障、高性价比、核保宽松、一键理赔等特点，</w:t>
            </w:r>
            <w:r>
              <w:rPr>
                <w:rFonts w:hint="eastAsia" w:ascii="仿宋" w:hAnsi="仿宋" w:eastAsia="仿宋" w:cs="仿宋"/>
                <w:sz w:val="24"/>
                <w:szCs w:val="24"/>
                <w:lang w:val="en-US" w:eastAsia="zh-CN"/>
              </w:rPr>
              <w:t>根据所选产品特点和促销策略撰写业务营销方案和活动文案，营销方案审核完成后保险公司于2023年6月9日在电视媒体上线了产品的推广广告。</w:t>
            </w:r>
          </w:p>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480" w:firstLineChars="200"/>
              <w:jc w:val="both"/>
              <w:rPr>
                <w:rFonts w:hint="eastAsia" w:ascii="仿宋" w:hAnsi="仿宋" w:eastAsia="仿宋" w:cs="仿宋"/>
              </w:rPr>
            </w:pPr>
            <w:r>
              <w:rPr>
                <w:rFonts w:hint="eastAsia" w:ascii="仿宋" w:hAnsi="仿宋" w:eastAsia="仿宋" w:cs="仿宋"/>
                <w:sz w:val="24"/>
                <w:szCs w:val="24"/>
              </w:rPr>
              <w:t>配合“工作意外险”这款保险产品，风险管理人员设计了“工作意外险项目核保”模型，针对“工作意外险项目营销方案”保险购买者进行自动核保。风险管理人员将已经完成核保的“工作意外险项目营销方案”进行了反欺诈识别保证保险正常赔付。完成风险识别后，风险管理人员正式将当前方案进行自动化理赔程序。</w:t>
            </w:r>
          </w:p>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jc w:val="both"/>
              <w:rPr>
                <w:rFonts w:hint="eastAsia" w:ascii="仿宋" w:hAnsi="仿宋" w:eastAsia="仿宋" w:cs="仿宋"/>
                <w:sz w:val="24"/>
                <w:szCs w:val="24"/>
              </w:rPr>
            </w:pPr>
            <w:r>
              <w:rPr>
                <w:rFonts w:hint="eastAsia" w:ascii="仿宋" w:hAnsi="仿宋" w:eastAsia="仿宋" w:cs="仿宋"/>
                <w:sz w:val="24"/>
                <w:szCs w:val="24"/>
              </w:rPr>
              <w:t> 收到营销信息的</w:t>
            </w:r>
            <w:r>
              <w:rPr>
                <w:rFonts w:hint="eastAsia" w:ascii="仿宋" w:hAnsi="仿宋" w:eastAsia="仿宋" w:cs="仿宋"/>
                <w:sz w:val="24"/>
                <w:szCs w:val="24"/>
                <w:lang w:val="en-US" w:eastAsia="zh-CN"/>
              </w:rPr>
              <w:t>保险</w:t>
            </w:r>
            <w:r>
              <w:rPr>
                <w:rFonts w:hint="eastAsia" w:ascii="仿宋" w:hAnsi="仿宋" w:eastAsia="仿宋" w:cs="仿宋"/>
                <w:sz w:val="24"/>
                <w:szCs w:val="24"/>
              </w:rPr>
              <w:t>客户，进入客户服务查询了“工作意外险”的产品项目列表。</w:t>
            </w:r>
          </w:p>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jc w:val="both"/>
              <w:rPr>
                <w:rFonts w:hint="eastAsia" w:ascii="仿宋" w:hAnsi="仿宋" w:eastAsia="仿宋" w:cs="仿宋"/>
                <w:sz w:val="24"/>
                <w:szCs w:val="24"/>
              </w:rPr>
            </w:pPr>
          </w:p>
          <w:tbl>
            <w:tblPr>
              <w:tblStyle w:val="16"/>
              <w:tblW w:w="4947"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096"/>
              <w:gridCol w:w="301"/>
              <w:gridCol w:w="796"/>
              <w:gridCol w:w="1096"/>
              <w:gridCol w:w="2036"/>
              <w:gridCol w:w="226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rPr>
                  </w:pPr>
                  <w:r>
                    <w:rPr>
                      <w:rFonts w:hint="eastAsia" w:ascii="仿宋" w:hAnsi="仿宋" w:eastAsia="仿宋" w:cs="仿宋"/>
                      <w:sz w:val="24"/>
                      <w:szCs w:val="24"/>
                    </w:rPr>
                    <w:t>保障项目</w:t>
                  </w:r>
                </w:p>
              </w:tc>
              <w:tc>
                <w:tcPr>
                  <w:tcW w:w="722"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保险范围</w:t>
                  </w:r>
                </w:p>
              </w:tc>
              <w:tc>
                <w:tcPr>
                  <w:tcW w:w="722"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保险金额（元）</w:t>
                  </w:r>
                </w:p>
              </w:tc>
              <w:tc>
                <w:tcPr>
                  <w:tcW w:w="283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rPr>
                  </w:pPr>
                  <w:r>
                    <w:rPr>
                      <w:rFonts w:hint="eastAsia" w:ascii="仿宋" w:hAnsi="仿宋" w:eastAsia="仿宋" w:cs="仿宋"/>
                      <w:sz w:val="24"/>
                      <w:szCs w:val="24"/>
                    </w:rPr>
                    <w:t>保费定价（元）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rPr>
                  </w:pPr>
                  <w:r>
                    <w:rPr>
                      <w:rFonts w:hint="eastAsia" w:ascii="仿宋" w:hAnsi="仿宋" w:eastAsia="仿宋" w:cs="仿宋"/>
                      <w:sz w:val="24"/>
                      <w:szCs w:val="24"/>
                    </w:rPr>
                    <w:t>医疗保障</w:t>
                  </w:r>
                </w:p>
              </w:tc>
              <w:tc>
                <w:tcPr>
                  <w:tcW w:w="722" w:type="pct"/>
                  <w:gridSpan w:val="2"/>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猝死</w:t>
                  </w:r>
                </w:p>
              </w:tc>
              <w:tc>
                <w:tcPr>
                  <w:tcW w:w="722" w:type="pct"/>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50万</w:t>
                  </w: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49.00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159.00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20万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259.00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30万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599.00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重大疾病</w:t>
                  </w:r>
                </w:p>
              </w:tc>
              <w:tc>
                <w:tcPr>
                  <w:tcW w:w="722" w:type="pct"/>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50万</w:t>
                  </w: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49.00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159.00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20万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259.00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40万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599.00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50万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住院误工津贴</w:t>
                  </w:r>
                </w:p>
              </w:tc>
              <w:tc>
                <w:tcPr>
                  <w:tcW w:w="722" w:type="pct"/>
                  <w:vMerge w:val="restar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60元/天</w:t>
                  </w: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20元/天</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2.00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40元/天</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6.00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gridSpan w:val="2"/>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722" w:type="pct"/>
                  <w:vMerge w:val="continue"/>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line="240" w:lineRule="auto"/>
                    <w:ind w:left="0" w:leftChars="0" w:firstLine="0" w:firstLineChars="0"/>
                    <w:textAlignment w:val="auto"/>
                    <w:rPr>
                      <w:rFonts w:hint="eastAsia" w:ascii="仿宋" w:hAnsi="仿宋" w:eastAsia="仿宋" w:cs="仿宋"/>
                      <w:sz w:val="18"/>
                      <w:szCs w:val="18"/>
                    </w:rPr>
                  </w:pP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60元/天</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8.00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22"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rPr>
                  </w:pPr>
                  <w:r>
                    <w:rPr>
                      <w:rFonts w:hint="eastAsia" w:ascii="仿宋" w:hAnsi="仿宋" w:eastAsia="仿宋" w:cs="仿宋"/>
                      <w:sz w:val="24"/>
                      <w:szCs w:val="24"/>
                    </w:rPr>
                    <w:t>健康保障</w:t>
                  </w:r>
                </w:p>
              </w:tc>
              <w:tc>
                <w:tcPr>
                  <w:tcW w:w="722"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一般医疗费用保险责任</w:t>
                  </w:r>
                </w:p>
              </w:tc>
              <w:tc>
                <w:tcPr>
                  <w:tcW w:w="722"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300万</w:t>
                  </w:r>
                </w:p>
              </w:tc>
              <w:tc>
                <w:tcPr>
                  <w:tcW w:w="1341"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300万</w:t>
                  </w:r>
                </w:p>
              </w:tc>
              <w:tc>
                <w:tcPr>
                  <w:tcW w:w="1489" w:type="pct"/>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1999.00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gridSpan w:val="6"/>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创建核保模型</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2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核保模型名称</w:t>
                  </w:r>
                </w:p>
              </w:tc>
              <w:tc>
                <w:tcPr>
                  <w:tcW w:w="4078" w:type="pct"/>
                  <w:gridSpan w:val="4"/>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工作意外险项目核保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2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除外承保</w:t>
                  </w:r>
                </w:p>
              </w:tc>
              <w:tc>
                <w:tcPr>
                  <w:tcW w:w="4078" w:type="pct"/>
                  <w:gridSpan w:val="4"/>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H.类风湿关节炎、系统性红斑狼疮、硬皮病及其它免疫系统疾病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I.各种贫血、血小板减少性紫痰、淋巴瘤及其它血液系统疾病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J.视力、听力、言语、咀嚼功能障碍及四肢残疾、胸廓、脊柱变形和功能障碍</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K.颈椎病、腰椎间盘突出症、骨与关节结核、骨关节病</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2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加费承保</w:t>
                  </w:r>
                </w:p>
              </w:tc>
              <w:tc>
                <w:tcPr>
                  <w:tcW w:w="4078" w:type="pct"/>
                  <w:gridSpan w:val="4"/>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B.任何白内障、青光眼、中耳炎、视网膜疾病及其它眼耳鼻喉口腔疾病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C.哮喘、慢性支气管炎、肺气肿、胸膜疾病、肺结核、支气管扩张及其它呼吸系统疾病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D.高血压、冠心病、风湿性心脏病、先天性心脏病及其它心血管疾病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E.食道疾病、胃炎、消化性溃疡、肝炎或病毒携带、肝硬化、胆囊炎、胰腺炎、肠炎及其它消化系统疾病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F.肾小球肾炎、肾盂肾炎、肾病综合症、肾功能不全、尿路结石及其它生殖泌尿系统疾病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G.糖尿病或血糖异常、甲状腺疾病或检查异常、肾上腺疾病及其它内分泌代谢系统疾病</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2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人工核保</w:t>
                  </w:r>
                </w:p>
              </w:tc>
              <w:tc>
                <w:tcPr>
                  <w:tcW w:w="4078" w:type="pct"/>
                  <w:gridSpan w:val="4"/>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A.脑出血、脑梗塞、脑动脉硬化、癫痫病、精神病及其它神经精神系统疾病</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L.恶性肿瘤、良性肿瘤、结节、肿块、包块等占位性病变及不典型增生、新生物等</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N.任何身体异常、残疾、畸形、缺损、假体、受伤或上面未提到的其他任何疾病</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2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延期承保</w:t>
                  </w:r>
                </w:p>
              </w:tc>
              <w:tc>
                <w:tcPr>
                  <w:tcW w:w="4078" w:type="pct"/>
                  <w:gridSpan w:val="4"/>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21" w:type="pct"/>
                  <w:gridSpan w:val="2"/>
                  <w:tcBorders>
                    <w:top w:val="single" w:color="A4A4A4" w:sz="8" w:space="0"/>
                    <w:left w:val="single" w:color="A4A4A4" w:sz="8" w:space="0"/>
                    <w:bottom w:val="single" w:color="A4A4A4" w:sz="8" w:space="0"/>
                    <w:right w:val="single" w:color="A4A4A4" w:sz="8" w:space="0"/>
                  </w:tcBorders>
                  <w:shd w:val="clear" w:color="auto" w:fill="auto"/>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 w:hAnsi="仿宋" w:eastAsia="仿宋" w:cs="仿宋"/>
                    </w:rPr>
                  </w:pPr>
                  <w:r>
                    <w:rPr>
                      <w:rFonts w:hint="eastAsia" w:ascii="仿宋" w:hAnsi="仿宋" w:eastAsia="仿宋" w:cs="仿宋"/>
                      <w:sz w:val="24"/>
                      <w:szCs w:val="24"/>
                    </w:rPr>
                    <w:t>拒保</w:t>
                  </w:r>
                </w:p>
              </w:tc>
              <w:tc>
                <w:tcPr>
                  <w:tcW w:w="4078" w:type="pct"/>
                  <w:gridSpan w:val="4"/>
                  <w:tcBorders>
                    <w:top w:val="single" w:color="A4A4A4" w:sz="8" w:space="0"/>
                    <w:left w:val="single" w:color="A4A4A4" w:sz="8" w:space="0"/>
                    <w:bottom w:val="single" w:color="A4A4A4" w:sz="8" w:space="0"/>
                    <w:right w:val="single" w:color="A4A4A4"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eastAsia" w:ascii="仿宋" w:hAnsi="仿宋" w:eastAsia="仿宋" w:cs="仿宋"/>
                    </w:rPr>
                  </w:pPr>
                  <w:r>
                    <w:rPr>
                      <w:rFonts w:hint="eastAsia" w:ascii="仿宋" w:hAnsi="仿宋" w:eastAsia="仿宋" w:cs="仿宋"/>
                      <w:kern w:val="0"/>
                      <w:sz w:val="24"/>
                      <w:szCs w:val="24"/>
                      <w:lang w:val="en-US" w:eastAsia="zh-CN" w:bidi="ar"/>
                    </w:rPr>
                    <w:t>M.性病、HIV抗体阳性者、艾滋病及其并发症</w:t>
                  </w:r>
                </w:p>
              </w:tc>
            </w:tr>
          </w:tbl>
          <w:p>
            <w:pPr>
              <w:pStyle w:val="14"/>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保险客户林楠2023年7月1日在数字健康险平台申请投保了数字健康险，分别选择了保额1万的意外伤害医疗（含门诊及住院）、保额1万的意外和疾病住院和保额150元/天的意外住院津贴，并进行了数据授权，数字健康险平台收到投保信息后核查客户信息，选择标准体承保。林楠于2023年8月3日申请医疗检查，当天收到检查结果为身体健康，完成检查后医院向林楠收取了检查费用175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7883" w:type="dxa"/>
            <w:gridSpan w:val="7"/>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47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734"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1755"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1757"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163"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7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1734"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运用保险业务综合处理，开展产品设计、</w:t>
            </w:r>
            <w:r>
              <w:rPr>
                <w:rFonts w:hint="eastAsia" w:ascii="仿宋" w:hAnsi="仿宋" w:eastAsia="仿宋" w:cs="仿宋"/>
                <w:sz w:val="24"/>
                <w:szCs w:val="24"/>
                <w:lang w:val="en-US" w:eastAsia="zh-CN"/>
              </w:rPr>
              <w:t>精准定价、精准营销</w:t>
            </w:r>
          </w:p>
        </w:tc>
        <w:tc>
          <w:tcPr>
            <w:tcW w:w="1755"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1.产品设计</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2.精准定价</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3.精准营销</w:t>
            </w:r>
          </w:p>
        </w:tc>
        <w:tc>
          <w:tcPr>
            <w:tcW w:w="1757" w:type="dxa"/>
            <w:gridSpan w:val="2"/>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1.保险产品方案信息</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2.精准定价流程</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3.精准营销流程</w:t>
            </w:r>
          </w:p>
        </w:tc>
        <w:tc>
          <w:tcPr>
            <w:tcW w:w="116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7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子任务1-3</w:t>
            </w:r>
          </w:p>
        </w:tc>
        <w:tc>
          <w:tcPr>
            <w:tcW w:w="1734"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运用金融产品推广与营销技术完成保险产品营销业务</w:t>
            </w:r>
          </w:p>
        </w:tc>
        <w:tc>
          <w:tcPr>
            <w:tcW w:w="1755"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用户画像分析</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2.营销策略制定</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lang w:val="en-US" w:eastAsia="zh-CN"/>
              </w:rPr>
              <w:t>3.</w:t>
            </w:r>
            <w:r>
              <w:rPr>
                <w:rFonts w:hint="eastAsia" w:ascii="仿宋" w:hAnsi="仿宋" w:eastAsia="仿宋" w:cs="仿宋"/>
                <w:sz w:val="24"/>
                <w:szCs w:val="24"/>
              </w:rPr>
              <w:t>活动上线实施</w:t>
            </w:r>
          </w:p>
        </w:tc>
        <w:tc>
          <w:tcPr>
            <w:tcW w:w="1757"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1.用户画像分析流程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2.营销策略制定流程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3.业务营销方案及活动文案撰写</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4.活动上线实施流程</w:t>
            </w:r>
          </w:p>
        </w:tc>
        <w:tc>
          <w:tcPr>
            <w:tcW w:w="116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7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子任务1-2</w:t>
            </w:r>
          </w:p>
        </w:tc>
        <w:tc>
          <w:tcPr>
            <w:tcW w:w="1734"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运用保险业务综合处理，完成</w:t>
            </w:r>
            <w:r>
              <w:rPr>
                <w:rFonts w:hint="eastAsia" w:ascii="仿宋" w:hAnsi="仿宋" w:eastAsia="仿宋" w:cs="仿宋"/>
                <w:sz w:val="24"/>
                <w:szCs w:val="24"/>
                <w:lang w:val="en-US" w:eastAsia="zh-CN"/>
              </w:rPr>
              <w:t>风险管理</w:t>
            </w:r>
          </w:p>
        </w:tc>
        <w:tc>
          <w:tcPr>
            <w:tcW w:w="1755"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1.自动核保</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2.反欺诈识别</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3.自动化理赔</w:t>
            </w:r>
          </w:p>
        </w:tc>
        <w:tc>
          <w:tcPr>
            <w:tcW w:w="1757" w:type="dxa"/>
            <w:gridSpan w:val="2"/>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1.自动核保流程</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2.反欺诈识别流程</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3.自动化理赔流程</w:t>
            </w:r>
          </w:p>
        </w:tc>
        <w:tc>
          <w:tcPr>
            <w:tcW w:w="116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379"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7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子任务1-4</w:t>
            </w:r>
          </w:p>
        </w:tc>
        <w:tc>
          <w:tcPr>
            <w:tcW w:w="1734"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数字医疗与数字健康保险</w:t>
            </w:r>
            <w:r>
              <w:rPr>
                <w:rFonts w:hint="eastAsia" w:ascii="仿宋" w:hAnsi="仿宋" w:eastAsia="仿宋" w:cs="仿宋"/>
                <w:sz w:val="24"/>
                <w:szCs w:val="24"/>
                <w:lang w:val="en-US" w:eastAsia="zh-CN"/>
              </w:rPr>
              <w:t>投保和理赔</w:t>
            </w:r>
          </w:p>
        </w:tc>
        <w:tc>
          <w:tcPr>
            <w:tcW w:w="1755"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1.数字健康险投保</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2.核保</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3.无感理赔</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4.检查</w:t>
            </w:r>
          </w:p>
        </w:tc>
        <w:tc>
          <w:tcPr>
            <w:tcW w:w="1757"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1.检查信息填写</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2.诊断信息填写</w:t>
            </w:r>
          </w:p>
        </w:tc>
        <w:tc>
          <w:tcPr>
            <w:tcW w:w="116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379"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474"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734"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highlight w:val="none"/>
              </w:rPr>
              <w:t>更多样题详见题库素材包</w:t>
            </w:r>
          </w:p>
        </w:tc>
        <w:tc>
          <w:tcPr>
            <w:tcW w:w="1755" w:type="dxa"/>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_GB2312" w:eastAsia="仿宋_GB2312"/>
                <w:sz w:val="24"/>
                <w:szCs w:val="24"/>
              </w:rPr>
              <w:t>......</w:t>
            </w:r>
          </w:p>
        </w:tc>
        <w:tc>
          <w:tcPr>
            <w:tcW w:w="1757"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c>
          <w:tcPr>
            <w:tcW w:w="1163"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2233"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5650" w:type="dxa"/>
            <w:gridSpan w:val="5"/>
            <w:noWrap w:val="0"/>
            <w:vAlign w:val="center"/>
          </w:tcPr>
          <w:p>
            <w:pPr>
              <w:pStyle w:val="15"/>
              <w:numPr>
                <w:ilvl w:val="0"/>
                <w:numId w:val="0"/>
              </w:numPr>
              <w:spacing w:after="0" w:line="240" w:lineRule="auto"/>
              <w:ind w:leftChars="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量身定制保险理财规划、保险产品推广及销售等工作的能力； </w:t>
            </w:r>
          </w:p>
          <w:p>
            <w:pPr>
              <w:pStyle w:val="15"/>
              <w:numPr>
                <w:ilvl w:val="0"/>
                <w:numId w:val="0"/>
              </w:numPr>
              <w:spacing w:after="0" w:line="240" w:lineRule="auto"/>
              <w:ind w:leftChars="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.风险识别与评估、风险查勘、损失分析与核定、理赔调查等核保理赔能力</w:t>
            </w:r>
            <w:r>
              <w:rPr>
                <w:rFonts w:hint="eastAsia" w:ascii="仿宋" w:hAnsi="仿宋" w:eastAsia="仿宋" w:cs="仿宋"/>
                <w:sz w:val="24"/>
                <w:szCs w:val="24"/>
                <w:lang w:eastAsia="zh-CN"/>
              </w:rPr>
              <w:t>；</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数字营销方案撰写、活动策划及实施的能力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2233"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5650" w:type="dxa"/>
            <w:gridSpan w:val="5"/>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JR/T 0226—2021</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保险行业信息共享平台数据交换规范</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JR/T 0224—2021</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保险行业网络建设基本规范</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JR/T 0165-2018</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保险业车联网基础数据元目录</w:t>
            </w:r>
          </w:p>
          <w:p>
            <w:pP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JR/T 0074-2012</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保险业IT服务管理基本规范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7883" w:type="dxa"/>
            <w:gridSpan w:val="7"/>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9"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7883" w:type="dxa"/>
            <w:gridSpan w:val="7"/>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ind w:firstLine="0" w:firstLineChars="0"/>
        <w:jc w:val="center"/>
        <w:rPr>
          <w:rFonts w:hint="eastAsia" w:ascii="仿宋" w:hAnsi="仿宋" w:eastAsia="仿宋" w:cs="仿宋"/>
          <w:b/>
          <w:color w:val="000000"/>
          <w:sz w:val="24"/>
          <w:szCs w:val="24"/>
          <w:highlight w:val="none"/>
          <w:lang w:val="en-US" w:eastAsia="zh-CN" w:bidi="zh-CN"/>
        </w:rPr>
      </w:pPr>
    </w:p>
    <w:p>
      <w:pPr>
        <w:ind w:firstLine="0" w:firstLineChars="0"/>
        <w:jc w:val="left"/>
        <w:rPr>
          <w:rFonts w:hint="eastAsia"/>
          <w:b/>
          <w:bCs w:val="0"/>
          <w:sz w:val="24"/>
          <w:szCs w:val="24"/>
          <w:lang w:val="en-US" w:eastAsia="zh-CN"/>
        </w:rPr>
      </w:pPr>
      <w:r>
        <w:rPr>
          <w:rFonts w:hint="default" w:ascii="仿宋_GB2312" w:hAnsi="仿宋_GB2312" w:eastAsia="仿宋_GB2312" w:cs="仿宋_GB2312"/>
          <w:b/>
          <w:bCs/>
          <w:color w:val="auto"/>
          <w:sz w:val="28"/>
          <w:szCs w:val="28"/>
          <w:highlight w:val="none"/>
          <w:lang w:val="en-US" w:eastAsia="zh-CN" w:bidi="zh-CN"/>
        </w:rPr>
        <w:t>7.</w:t>
      </w:r>
      <w:r>
        <w:rPr>
          <w:rFonts w:hint="default" w:ascii="仿宋_GB2312" w:hAnsi="仿宋_GB2312" w:eastAsia="仿宋_GB2312" w:cs="仿宋_GB2312"/>
          <w:b/>
          <w:bCs/>
          <w:color w:val="auto"/>
          <w:sz w:val="28"/>
          <w:szCs w:val="28"/>
          <w:highlight w:val="none"/>
          <w:lang w:val="en-US" w:eastAsia="zh-CN"/>
        </w:rPr>
        <w:t>金融科技业务创新</w:t>
      </w:r>
    </w:p>
    <w:tbl>
      <w:tblPr>
        <w:tblStyle w:val="16"/>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317"/>
        <w:gridCol w:w="1775"/>
        <w:gridCol w:w="1458"/>
        <w:gridCol w:w="224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131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模块7</w:t>
            </w:r>
          </w:p>
        </w:tc>
        <w:tc>
          <w:tcPr>
            <w:tcW w:w="3233"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3481"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131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金融科技业务创新</w:t>
            </w:r>
          </w:p>
        </w:tc>
        <w:tc>
          <w:tcPr>
            <w:tcW w:w="3233" w:type="dxa"/>
            <w:gridSpan w:val="2"/>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3481" w:type="dxa"/>
            <w:gridSpan w:val="2"/>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8031" w:type="dxa"/>
            <w:gridSpan w:val="5"/>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8031" w:type="dxa"/>
            <w:gridSpan w:val="5"/>
            <w:noWrap w:val="0"/>
            <w:vAlign w:val="center"/>
          </w:tcPr>
          <w:p>
            <w:pPr>
              <w:keepNext w:val="0"/>
              <w:keepLines w:val="0"/>
              <w:pageBreakBefore w:val="0"/>
              <w:widowControl/>
              <w:suppressLineNumbers w:val="0"/>
              <w:kinsoku/>
              <w:wordWrap/>
              <w:overflowPunct/>
              <w:topLinePunct w:val="0"/>
              <w:bidi w:val="0"/>
              <w:spacing w:beforeAutospacing="0" w:afterAutospacing="0" w:line="240" w:lineRule="auto"/>
              <w:ind w:left="0" w:leftChars="0" w:right="0" w:firstLine="480" w:firstLineChars="200"/>
              <w:jc w:val="both"/>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某供应链核心企业为了最大程度的减少对营运资金的占用和需求，计划在一次原材料采购中对上游贸易商</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采用了先款后货的方式进行贸易，并使用银行承兑汇票的信用结算方式来支付货款，此次采购货款金额为365万元，2023年7月13日，核心企业向银行发送了以</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为收票人的出票申请，票据期限为三个月，银行相关部门审核后，同意了该银行承兑汇票的承兑；在银行同意承兑后，</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收到该票据并同意了收票。      </w:t>
            </w:r>
          </w:p>
          <w:p>
            <w:pPr>
              <w:keepNext w:val="0"/>
              <w:keepLines w:val="0"/>
              <w:pageBreakBefore w:val="0"/>
              <w:widowControl/>
              <w:suppressLineNumbers w:val="0"/>
              <w:kinsoku/>
              <w:wordWrap/>
              <w:overflowPunct/>
              <w:topLinePunct w:val="0"/>
              <w:bidi w:val="0"/>
              <w:spacing w:beforeAutospacing="0" w:afterAutospacing="0" w:line="240" w:lineRule="auto"/>
              <w:ind w:left="0" w:leftChars="0" w:right="0" w:firstLine="480" w:firstLineChars="200"/>
              <w:jc w:val="both"/>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由于本次交易金额较大，</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在这样的结算方式下面临较为严重的资金占压，企业现金流比较紧张，为了企业的进一步发展需要，</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决定转让该银行承兑汇票债权以获得280万元融资，2023年7月20日，</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向保理公司申请了“瑞亚供应链保理融资”。银行收到通知后同意了此次保理融资授信；接着保理公司收到了融资申请，审核该公司的信用后同意了该融资申请。      </w:t>
            </w:r>
          </w:p>
          <w:p>
            <w:pPr>
              <w:keepNext w:val="0"/>
              <w:keepLines w:val="0"/>
              <w:pageBreakBefore w:val="0"/>
              <w:widowControl/>
              <w:suppressLineNumbers w:val="0"/>
              <w:kinsoku/>
              <w:wordWrap/>
              <w:overflowPunct/>
              <w:topLinePunct w:val="0"/>
              <w:bidi w:val="0"/>
              <w:spacing w:beforeAutospacing="0" w:afterAutospacing="0" w:line="240" w:lineRule="auto"/>
              <w:ind w:left="0" w:leftChars="0" w:right="0" w:firstLine="480" w:firstLineChars="200"/>
              <w:jc w:val="both"/>
              <w:rPr>
                <w:rFonts w:hint="eastAsia" w:ascii="仿宋" w:hAnsi="仿宋" w:eastAsia="仿宋" w:cs="仿宋"/>
                <w:color w:val="000000"/>
                <w:sz w:val="24"/>
                <w:szCs w:val="24"/>
                <w:highlight w:val="none"/>
                <w:lang w:val="en-US" w:eastAsia="zh-CN"/>
              </w:rPr>
            </w:pPr>
            <w:r>
              <w:rPr>
                <w:rFonts w:hint="eastAsia" w:ascii="仿宋" w:hAnsi="仿宋" w:eastAsia="仿宋" w:cs="仿宋"/>
                <w:i w:val="0"/>
                <w:iCs w:val="0"/>
                <w:caps w:val="0"/>
                <w:color w:val="000000"/>
                <w:spacing w:val="0"/>
                <w:kern w:val="0"/>
                <w:sz w:val="24"/>
                <w:szCs w:val="24"/>
                <w:lang w:val="en-US" w:eastAsia="zh-CN" w:bidi="ar"/>
              </w:rPr>
              <w:t>接着</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向保理公司背书转让了用以获得融资的票据，保理公司在收到背书转让后给</w:t>
            </w:r>
            <w:r>
              <w:rPr>
                <w:rFonts w:hint="eastAsia" w:ascii="仿宋" w:hAnsi="仿宋" w:eastAsia="仿宋" w:cs="仿宋"/>
                <w:sz w:val="24"/>
                <w:szCs w:val="24"/>
                <w:vertAlign w:val="baseline"/>
                <w:lang w:val="en-US" w:eastAsia="zh-CN"/>
              </w:rPr>
              <w:t>北京瑞亚有限公司</w:t>
            </w:r>
            <w:r>
              <w:rPr>
                <w:rFonts w:hint="eastAsia" w:ascii="仿宋" w:hAnsi="仿宋" w:eastAsia="仿宋" w:cs="仿宋"/>
                <w:i w:val="0"/>
                <w:iCs w:val="0"/>
                <w:caps w:val="0"/>
                <w:color w:val="000000"/>
                <w:spacing w:val="0"/>
                <w:kern w:val="0"/>
                <w:sz w:val="24"/>
                <w:szCs w:val="24"/>
                <w:lang w:val="en-US" w:eastAsia="zh-CN" w:bidi="ar"/>
              </w:rPr>
              <w:t>划转了融资金额。票据到期后保理公司向付款人银行发送了到期付款提示，银行收到提示后，发现核心企业在本行的账户余额不足，不足以支付本次票据余额，于是拒绝了本次付款。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8031" w:type="dxa"/>
            <w:gridSpan w:val="5"/>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317"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775"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145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2244"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237"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1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1775"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auto"/>
                <w:spacing w:val="-3"/>
                <w:sz w:val="24"/>
                <w:szCs w:val="24"/>
                <w:lang w:val="en-US" w:eastAsia="zh-CN" w:bidi="zh-CN"/>
              </w:rPr>
              <w:t>基于供应链金融完成信用结算业务</w:t>
            </w:r>
          </w:p>
        </w:tc>
        <w:tc>
          <w:tcPr>
            <w:tcW w:w="1458"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1.银票出票</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2.银票承兑</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3.收票</w:t>
            </w:r>
          </w:p>
        </w:tc>
        <w:tc>
          <w:tcPr>
            <w:tcW w:w="224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1.银票出票流程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2.银票出票填写信息</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3.银票承兑流程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4.银票收票流程</w:t>
            </w:r>
          </w:p>
        </w:tc>
        <w:tc>
          <w:tcPr>
            <w:tcW w:w="123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1228"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1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子任务1-2</w:t>
            </w:r>
          </w:p>
        </w:tc>
        <w:tc>
          <w:tcPr>
            <w:tcW w:w="1775"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auto"/>
                <w:spacing w:val="-3"/>
                <w:sz w:val="24"/>
                <w:szCs w:val="24"/>
                <w:lang w:val="en-US" w:eastAsia="zh-CN" w:bidi="zh-CN"/>
              </w:rPr>
              <w:t>基于供应链金融完成保理业务</w:t>
            </w:r>
          </w:p>
        </w:tc>
        <w:tc>
          <w:tcPr>
            <w:tcW w:w="1458" w:type="dxa"/>
            <w:noWrap w:val="0"/>
            <w:vAlign w:val="center"/>
          </w:tcPr>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1.申请保理融资</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2.背书票据</w:t>
            </w:r>
          </w:p>
          <w:p>
            <w:pPr>
              <w:pStyle w:val="15"/>
              <w:keepNext w:val="0"/>
              <w:keepLines w:val="0"/>
              <w:pageBreakBefore w:val="0"/>
              <w:numPr>
                <w:ilvl w:val="0"/>
                <w:numId w:val="0"/>
              </w:numPr>
              <w:kinsoku/>
              <w:wordWrap/>
              <w:overflowPunct/>
              <w:topLinePunct w:val="0"/>
              <w:bidi w:val="0"/>
              <w:spacing w:beforeAutospacing="0" w:after="0" w:afterLines="0" w:line="240" w:lineRule="auto"/>
              <w:ind w:left="0" w:left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3.保理合同签订</w:t>
            </w:r>
          </w:p>
        </w:tc>
        <w:tc>
          <w:tcPr>
            <w:tcW w:w="224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1.保理融资申请流程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2.保理融资申请填写信息</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3.保理合同签订流程</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4.保理合同填写信息</w:t>
            </w:r>
          </w:p>
        </w:tc>
        <w:tc>
          <w:tcPr>
            <w:tcW w:w="123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228"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17"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775" w:type="dxa"/>
            <w:noWrap w:val="0"/>
            <w:vAlign w:val="center"/>
          </w:tcPr>
          <w:p>
            <w:pPr>
              <w:jc w:val="center"/>
              <w:rPr>
                <w:rFonts w:hint="eastAsia" w:ascii="仿宋" w:hAnsi="仿宋" w:eastAsia="仿宋" w:cs="仿宋"/>
                <w:b w:val="0"/>
                <w:bCs w:val="0"/>
                <w:color w:val="auto"/>
                <w:spacing w:val="-3"/>
                <w:sz w:val="24"/>
                <w:szCs w:val="24"/>
                <w:lang w:val="en-US" w:eastAsia="zh-CN" w:bidi="zh-CN"/>
              </w:rPr>
            </w:pPr>
            <w:r>
              <w:rPr>
                <w:rFonts w:hint="eastAsia" w:ascii="仿宋" w:hAnsi="仿宋" w:eastAsia="仿宋" w:cs="仿宋"/>
                <w:sz w:val="24"/>
                <w:szCs w:val="24"/>
                <w:highlight w:val="none"/>
              </w:rPr>
              <w:t>更多样题详见题库素材包</w:t>
            </w:r>
          </w:p>
        </w:tc>
        <w:tc>
          <w:tcPr>
            <w:tcW w:w="1458" w:type="dxa"/>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_GB2312" w:eastAsia="仿宋_GB2312"/>
                <w:sz w:val="24"/>
                <w:szCs w:val="24"/>
              </w:rPr>
              <w:t>......</w:t>
            </w:r>
          </w:p>
        </w:tc>
        <w:tc>
          <w:tcPr>
            <w:tcW w:w="2244"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c>
          <w:tcPr>
            <w:tcW w:w="123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8" w:type="dxa"/>
            <w:vMerge w:val="restart"/>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131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6714" w:type="dxa"/>
            <w:gridSpan w:val="4"/>
            <w:noWrap w:val="0"/>
            <w:vAlign w:val="center"/>
          </w:tcPr>
          <w:p>
            <w:pPr>
              <w:pStyle w:val="15"/>
              <w:numPr>
                <w:ilvl w:val="0"/>
                <w:numId w:val="0"/>
              </w:numPr>
              <w:spacing w:after="0" w:line="240" w:lineRule="auto"/>
              <w:ind w:leftChars="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适应金融产业数字化发展需求的信息技术基础知识、专业信息技术能力等基本数字化技能；</w:t>
            </w:r>
          </w:p>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适应现代金融业的新知识、新技术、新方法、新应用的能力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vMerge w:val="continue"/>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317" w:type="dxa"/>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6714" w:type="dxa"/>
            <w:gridSpan w:val="4"/>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JR/T 0200-2020</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金融科技创新风险监控规范</w:t>
            </w:r>
          </w:p>
          <w:p>
            <w:pP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JR/T 0198-2020</w:t>
            </w:r>
            <w:r>
              <w:rPr>
                <w:rFonts w:hint="eastAsia" w:ascii="仿宋" w:hAnsi="仿宋" w:cs="仿宋"/>
                <w:sz w:val="24"/>
                <w:szCs w:val="24"/>
                <w:lang w:val="en-US" w:eastAsia="zh-CN"/>
              </w:rPr>
              <w:t xml:space="preserve">  </w:t>
            </w:r>
            <w:r>
              <w:rPr>
                <w:rFonts w:hint="eastAsia" w:ascii="仿宋" w:hAnsi="仿宋" w:eastAsia="仿宋" w:cs="仿宋"/>
                <w:sz w:val="24"/>
                <w:szCs w:val="24"/>
                <w:lang w:val="en-US" w:eastAsia="zh-CN"/>
              </w:rPr>
              <w:t>金融科技创新应用测试规范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8031" w:type="dxa"/>
            <w:gridSpan w:val="5"/>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8" w:type="dxa"/>
            <w:noWrap w:val="0"/>
            <w:vAlign w:val="center"/>
          </w:tcPr>
          <w:p>
            <w:pPr>
              <w:pStyle w:val="15"/>
              <w:keepNext w:val="0"/>
              <w:keepLines w:val="0"/>
              <w:pageBreakBefore w:val="0"/>
              <w:kinsoku/>
              <w:wordWrap/>
              <w:overflowPunct/>
              <w:topLinePunct w:val="0"/>
              <w:bidi w:val="0"/>
              <w:adjustRightInd w:val="0"/>
              <w:snapToGrid w:val="0"/>
              <w:spacing w:beforeAutospacing="0" w:after="0" w:afterLines="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8031" w:type="dxa"/>
            <w:gridSpan w:val="5"/>
            <w:noWrap w:val="0"/>
            <w:vAlign w:val="center"/>
          </w:tcPr>
          <w:p>
            <w:pPr>
              <w:pStyle w:val="15"/>
              <w:keepNext w:val="0"/>
              <w:keepLines w:val="0"/>
              <w:pageBreakBefore w:val="0"/>
              <w:kinsoku/>
              <w:wordWrap/>
              <w:overflowPunct/>
              <w:topLinePunct w:val="0"/>
              <w:bidi w:val="0"/>
              <w:spacing w:beforeAutospacing="0" w:after="0" w:afterLines="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ind w:firstLine="0" w:firstLineChars="0"/>
        <w:jc w:val="center"/>
        <w:rPr>
          <w:rFonts w:hint="eastAsia" w:ascii="仿宋" w:hAnsi="仿宋" w:eastAsia="仿宋" w:cs="仿宋"/>
          <w:b/>
          <w:color w:val="000000"/>
          <w:sz w:val="24"/>
          <w:szCs w:val="24"/>
          <w:highlight w:val="none"/>
          <w:lang w:val="en-US" w:eastAsia="zh-CN" w:bidi="zh-CN"/>
        </w:rPr>
      </w:pPr>
    </w:p>
    <w:p>
      <w:pPr>
        <w:ind w:firstLine="0" w:firstLineChars="0"/>
        <w:jc w:val="both"/>
        <w:rPr>
          <w:rFonts w:hint="eastAsia"/>
          <w:b/>
          <w:bCs w:val="0"/>
          <w:sz w:val="24"/>
          <w:szCs w:val="24"/>
          <w:lang w:val="en-US" w:eastAsia="zh-CN"/>
        </w:rPr>
      </w:pPr>
      <w:r>
        <w:rPr>
          <w:rFonts w:hint="default" w:ascii="仿宋_GB2312" w:hAnsi="仿宋_GB2312" w:eastAsia="仿宋_GB2312" w:cs="仿宋_GB2312"/>
          <w:b/>
          <w:bCs/>
          <w:color w:val="auto"/>
          <w:sz w:val="28"/>
          <w:szCs w:val="28"/>
          <w:highlight w:val="none"/>
          <w:lang w:val="en-US" w:eastAsia="zh-CN" w:bidi="zh-CN"/>
        </w:rPr>
        <w:t>8.</w:t>
      </w:r>
      <w:r>
        <w:rPr>
          <w:rFonts w:hint="default" w:ascii="仿宋_GB2312" w:hAnsi="仿宋_GB2312" w:eastAsia="仿宋_GB2312" w:cs="仿宋_GB2312"/>
          <w:b/>
          <w:bCs/>
          <w:color w:val="auto"/>
          <w:sz w:val="28"/>
          <w:szCs w:val="28"/>
          <w:highlight w:val="none"/>
          <w:lang w:val="en-US" w:eastAsia="zh-CN"/>
        </w:rPr>
        <w:t>数字金融业务监管</w:t>
      </w:r>
    </w:p>
    <w:tbl>
      <w:tblPr>
        <w:tblStyle w:val="16"/>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40"/>
        <w:gridCol w:w="536"/>
        <w:gridCol w:w="1188"/>
        <w:gridCol w:w="1976"/>
        <w:gridCol w:w="1900"/>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模块序号</w:t>
            </w:r>
          </w:p>
        </w:tc>
        <w:tc>
          <w:tcPr>
            <w:tcW w:w="1776"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模块8</w:t>
            </w:r>
          </w:p>
        </w:tc>
        <w:tc>
          <w:tcPr>
            <w:tcW w:w="3164"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对应赛项编号</w:t>
            </w:r>
          </w:p>
        </w:tc>
        <w:tc>
          <w:tcPr>
            <w:tcW w:w="3111" w:type="dxa"/>
            <w:gridSpan w:val="2"/>
            <w:noWrap w:val="0"/>
            <w:vAlign w:val="center"/>
          </w:tcPr>
          <w:p>
            <w:pPr>
              <w:pStyle w:val="15"/>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GZ044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模块名称</w:t>
            </w:r>
          </w:p>
        </w:tc>
        <w:tc>
          <w:tcPr>
            <w:tcW w:w="1776"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数字金融业务监管</w:t>
            </w:r>
          </w:p>
        </w:tc>
        <w:tc>
          <w:tcPr>
            <w:tcW w:w="3164"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子任务数量</w:t>
            </w:r>
          </w:p>
        </w:tc>
        <w:tc>
          <w:tcPr>
            <w:tcW w:w="3111" w:type="dxa"/>
            <w:gridSpan w:val="2"/>
            <w:noWrap w:val="0"/>
            <w:vAlign w:val="center"/>
          </w:tcPr>
          <w:p>
            <w:pPr>
              <w:pStyle w:val="15"/>
              <w:spacing w:after="0" w:line="24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竞赛时间</w:t>
            </w:r>
          </w:p>
        </w:tc>
        <w:tc>
          <w:tcPr>
            <w:tcW w:w="8051"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总时间180分钟，其中实施180分钟</w:t>
            </w:r>
            <w:r>
              <w:rPr>
                <w:rFonts w:hint="eastAsia" w:eastAsia="仿宋" w:cs="Times New Roman"/>
                <w:color w:val="000000"/>
                <w:sz w:val="24"/>
                <w:szCs w:val="24"/>
              </w:rPr>
              <w:t>（与其他</w:t>
            </w:r>
            <w:r>
              <w:rPr>
                <w:rFonts w:hint="eastAsia" w:eastAsia="仿宋" w:cs="Times New Roman"/>
                <w:color w:val="000000"/>
                <w:sz w:val="24"/>
                <w:szCs w:val="24"/>
                <w:lang w:eastAsia="zh-CN"/>
              </w:rPr>
              <w:t>“数字金融业务”</w:t>
            </w:r>
            <w:r>
              <w:rPr>
                <w:rFonts w:hint="eastAsia" w:eastAsia="仿宋" w:cs="Times New Roman"/>
                <w:color w:val="000000"/>
                <w:sz w:val="24"/>
                <w:szCs w:val="24"/>
              </w:rPr>
              <w:t>模块同时考核）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任务描述</w:t>
            </w:r>
          </w:p>
        </w:tc>
        <w:tc>
          <w:tcPr>
            <w:tcW w:w="8051" w:type="dxa"/>
            <w:gridSpan w:val="6"/>
            <w:noWrap w:val="0"/>
            <w:vAlign w:val="center"/>
          </w:tcPr>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i w:val="0"/>
                <w:iCs w:val="0"/>
                <w:caps w:val="0"/>
                <w:color w:val="000000"/>
                <w:spacing w:val="0"/>
                <w:sz w:val="24"/>
                <w:szCs w:val="24"/>
              </w:rPr>
            </w:pPr>
            <w:r>
              <w:rPr>
                <w:rFonts w:hint="eastAsia" w:ascii="仿宋" w:hAnsi="仿宋" w:eastAsia="仿宋" w:cs="仿宋"/>
                <w:lang w:val="en-US" w:eastAsia="zh-CN"/>
              </w:rPr>
              <w:t>中国光大银行股份有限公司</w:t>
            </w:r>
            <w:r>
              <w:rPr>
                <w:rFonts w:hint="eastAsia" w:ascii="仿宋" w:hAnsi="仿宋" w:eastAsia="仿宋" w:cs="仿宋"/>
                <w:i w:val="0"/>
                <w:iCs w:val="0"/>
                <w:caps w:val="0"/>
                <w:color w:val="000000"/>
                <w:spacing w:val="0"/>
                <w:sz w:val="24"/>
                <w:szCs w:val="24"/>
              </w:rPr>
              <w:t>为降低银行业务风险，</w:t>
            </w:r>
            <w:r>
              <w:rPr>
                <w:rFonts w:hint="eastAsia" w:ascii="仿宋" w:hAnsi="仿宋" w:eastAsia="仿宋" w:cs="仿宋"/>
                <w:i w:val="0"/>
                <w:iCs w:val="0"/>
                <w:caps w:val="0"/>
                <w:color w:val="000000"/>
                <w:spacing w:val="0"/>
                <w:sz w:val="24"/>
                <w:szCs w:val="24"/>
                <w:lang w:val="en-US" w:eastAsia="zh-CN"/>
              </w:rPr>
              <w:t>光大</w:t>
            </w:r>
            <w:r>
              <w:rPr>
                <w:rFonts w:hint="eastAsia" w:ascii="仿宋" w:hAnsi="仿宋" w:eastAsia="仿宋" w:cs="仿宋"/>
                <w:i w:val="0"/>
                <w:iCs w:val="0"/>
                <w:caps w:val="0"/>
                <w:color w:val="000000"/>
                <w:spacing w:val="0"/>
                <w:sz w:val="24"/>
                <w:szCs w:val="24"/>
              </w:rPr>
              <w:t>银行研</w:t>
            </w:r>
            <w:r>
              <w:rPr>
                <w:rFonts w:hint="eastAsia" w:ascii="仿宋" w:hAnsi="仿宋" w:eastAsia="仿宋" w:cs="仿宋"/>
                <w:i w:val="0"/>
                <w:iCs w:val="0"/>
                <w:caps w:val="0"/>
                <w:color w:val="000000"/>
                <w:spacing w:val="0"/>
                <w:sz w:val="24"/>
                <w:szCs w:val="24"/>
                <w:lang w:val="en-US" w:eastAsia="zh-CN"/>
              </w:rPr>
              <w:t>发</w:t>
            </w:r>
            <w:r>
              <w:rPr>
                <w:rFonts w:hint="eastAsia" w:ascii="仿宋" w:hAnsi="仿宋" w:eastAsia="仿宋" w:cs="仿宋"/>
                <w:i w:val="0"/>
                <w:iCs w:val="0"/>
                <w:caps w:val="0"/>
                <w:color w:val="000000"/>
                <w:spacing w:val="0"/>
                <w:sz w:val="24"/>
                <w:szCs w:val="24"/>
              </w:rPr>
              <w:t>了</w:t>
            </w:r>
            <w:r>
              <w:rPr>
                <w:rFonts w:hint="eastAsia" w:ascii="仿宋" w:hAnsi="仿宋" w:eastAsia="仿宋" w:cs="仿宋"/>
                <w:lang w:val="en-US" w:eastAsia="zh-CN"/>
              </w:rPr>
              <w:t>基于人工智能技术的智能风控产品</w:t>
            </w:r>
            <w:r>
              <w:rPr>
                <w:rFonts w:hint="eastAsia" w:ascii="仿宋" w:hAnsi="仿宋" w:eastAsia="仿宋" w:cs="仿宋"/>
                <w:i w:val="0"/>
                <w:iCs w:val="0"/>
                <w:caps w:val="0"/>
                <w:color w:val="000000"/>
                <w:spacing w:val="0"/>
                <w:sz w:val="24"/>
                <w:szCs w:val="24"/>
              </w:rPr>
              <w:t>，方案通过人工智能技术（集成学习、DNN网络）对多维的大数据进行深度挖掘，实现多维度数据的联合建模，通过高维稀疏技术，有效提升传统风控模型效果，将相关金融服务拓展到小微企业融资领域。在推向市场之前，为了通过科学实验评估，总结经验，</w:t>
            </w:r>
            <w:r>
              <w:rPr>
                <w:rFonts w:hint="eastAsia" w:ascii="仿宋" w:hAnsi="仿宋" w:eastAsia="仿宋" w:cs="仿宋"/>
                <w:i w:val="0"/>
                <w:iCs w:val="0"/>
                <w:caps w:val="0"/>
                <w:color w:val="000000"/>
                <w:spacing w:val="0"/>
                <w:sz w:val="24"/>
                <w:szCs w:val="24"/>
                <w:lang w:val="en-US" w:eastAsia="zh-CN"/>
              </w:rPr>
              <w:t>光大</w:t>
            </w:r>
            <w:r>
              <w:rPr>
                <w:rFonts w:hint="eastAsia" w:ascii="仿宋" w:hAnsi="仿宋" w:eastAsia="仿宋" w:cs="仿宋"/>
                <w:i w:val="0"/>
                <w:iCs w:val="0"/>
                <w:caps w:val="0"/>
                <w:color w:val="000000"/>
                <w:spacing w:val="0"/>
                <w:sz w:val="24"/>
                <w:szCs w:val="24"/>
              </w:rPr>
              <w:t>银行先识别了自身的各方面风险，接着金融</w:t>
            </w:r>
            <w:r>
              <w:rPr>
                <w:rFonts w:hint="eastAsia" w:ascii="仿宋" w:hAnsi="仿宋" w:eastAsia="仿宋" w:cs="仿宋"/>
                <w:i w:val="0"/>
                <w:iCs w:val="0"/>
                <w:caps w:val="0"/>
                <w:color w:val="000000"/>
                <w:spacing w:val="0"/>
                <w:sz w:val="24"/>
                <w:szCs w:val="24"/>
                <w:lang w:val="en-US" w:eastAsia="zh-CN"/>
              </w:rPr>
              <w:t>监督管理</w:t>
            </w:r>
            <w:r>
              <w:rPr>
                <w:rFonts w:hint="eastAsia" w:ascii="仿宋" w:hAnsi="仿宋" w:eastAsia="仿宋" w:cs="仿宋"/>
                <w:i w:val="0"/>
                <w:iCs w:val="0"/>
                <w:caps w:val="0"/>
                <w:color w:val="000000"/>
                <w:spacing w:val="0"/>
                <w:sz w:val="24"/>
                <w:szCs w:val="24"/>
              </w:rPr>
              <w:t>局</w:t>
            </w:r>
            <w:r>
              <w:rPr>
                <w:rFonts w:hint="eastAsia" w:ascii="仿宋" w:hAnsi="仿宋" w:eastAsia="仿宋" w:cs="仿宋"/>
                <w:i w:val="0"/>
                <w:iCs w:val="0"/>
                <w:caps w:val="0"/>
                <w:color w:val="000000"/>
                <w:spacing w:val="0"/>
                <w:sz w:val="24"/>
                <w:szCs w:val="24"/>
                <w:lang w:val="en-US" w:eastAsia="zh-CN"/>
              </w:rPr>
              <w:t>发出试点公告后</w:t>
            </w:r>
            <w:r>
              <w:rPr>
                <w:rFonts w:hint="eastAsia" w:ascii="仿宋" w:hAnsi="仿宋" w:eastAsia="仿宋" w:cs="仿宋"/>
                <w:i w:val="0"/>
                <w:iCs w:val="0"/>
                <w:caps w:val="0"/>
                <w:color w:val="000000"/>
                <w:spacing w:val="0"/>
                <w:sz w:val="24"/>
                <w:szCs w:val="24"/>
              </w:rPr>
              <w:t>申请了沙盒测试</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lang w:val="en-US" w:eastAsia="zh-CN"/>
              </w:rPr>
              <w:t>并向</w:t>
            </w:r>
            <w:r>
              <w:rPr>
                <w:rFonts w:hint="eastAsia" w:ascii="仿宋" w:hAnsi="仿宋" w:eastAsia="仿宋" w:cs="仿宋"/>
                <w:i w:val="0"/>
                <w:iCs w:val="0"/>
                <w:caps w:val="0"/>
                <w:color w:val="000000"/>
                <w:spacing w:val="0"/>
                <w:sz w:val="24"/>
                <w:szCs w:val="24"/>
                <w:lang w:eastAsia="zh-CN"/>
              </w:rPr>
              <w:t>金融监督管理局</w:t>
            </w:r>
            <w:r>
              <w:rPr>
                <w:rFonts w:hint="eastAsia" w:ascii="仿宋" w:hAnsi="仿宋" w:eastAsia="仿宋" w:cs="仿宋"/>
                <w:i w:val="0"/>
                <w:iCs w:val="0"/>
                <w:caps w:val="0"/>
                <w:color w:val="000000"/>
                <w:spacing w:val="0"/>
                <w:sz w:val="24"/>
                <w:szCs w:val="24"/>
                <w:lang w:val="en-US" w:eastAsia="zh-CN"/>
              </w:rPr>
              <w:t>发送了测试声明申请</w:t>
            </w:r>
            <w:r>
              <w:rPr>
                <w:rFonts w:hint="eastAsia" w:ascii="仿宋" w:hAnsi="仿宋" w:eastAsia="仿宋" w:cs="仿宋"/>
                <w:i w:val="0"/>
                <w:iCs w:val="0"/>
                <w:caps w:val="0"/>
                <w:color w:val="000000"/>
                <w:spacing w:val="0"/>
                <w:sz w:val="24"/>
                <w:szCs w:val="24"/>
              </w:rPr>
              <w:t>。</w:t>
            </w:r>
          </w:p>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银行财务数据：</w:t>
            </w:r>
          </w:p>
          <w:tbl>
            <w:tblPr>
              <w:tblStyle w:val="16"/>
              <w:tblW w:w="7306"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994"/>
              <w:gridCol w:w="1599"/>
              <w:gridCol w:w="1898"/>
              <w:gridCol w:w="181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136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资产总额（万元）</w:t>
                  </w:r>
                </w:p>
              </w:tc>
              <w:tc>
                <w:tcPr>
                  <w:tcW w:w="109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265319867.90</w:t>
                  </w:r>
                </w:p>
              </w:tc>
              <w:tc>
                <w:tcPr>
                  <w:tcW w:w="1298"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流动资产（万元）</w:t>
                  </w:r>
                </w:p>
              </w:tc>
              <w:tc>
                <w:tcPr>
                  <w:tcW w:w="1242"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17473211.30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136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净利润（万元）</w:t>
                  </w:r>
                </w:p>
              </w:tc>
              <w:tc>
                <w:tcPr>
                  <w:tcW w:w="109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2208036.80</w:t>
                  </w:r>
                </w:p>
              </w:tc>
              <w:tc>
                <w:tcPr>
                  <w:tcW w:w="1298"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流动负债（万元）</w:t>
                  </w:r>
                </w:p>
              </w:tc>
              <w:tc>
                <w:tcPr>
                  <w:tcW w:w="1242"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11609595.60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136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资本充足率（%）</w:t>
                  </w:r>
                </w:p>
              </w:tc>
              <w:tc>
                <w:tcPr>
                  <w:tcW w:w="109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12.16</w:t>
                  </w:r>
                </w:p>
              </w:tc>
              <w:tc>
                <w:tcPr>
                  <w:tcW w:w="1298"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净资本余额（万元）</w:t>
                  </w:r>
                </w:p>
              </w:tc>
              <w:tc>
                <w:tcPr>
                  <w:tcW w:w="1242"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24240742.50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136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核心资本充足率（%）</w:t>
                  </w:r>
                </w:p>
              </w:tc>
              <w:tc>
                <w:tcPr>
                  <w:tcW w:w="109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8.95</w:t>
                  </w:r>
                </w:p>
              </w:tc>
              <w:tc>
                <w:tcPr>
                  <w:tcW w:w="1298"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最大单一客户的贷款余额（万元）</w:t>
                  </w:r>
                </w:p>
              </w:tc>
              <w:tc>
                <w:tcPr>
                  <w:tcW w:w="1242"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730000.00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136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贷款（万元）</w:t>
                  </w:r>
                </w:p>
              </w:tc>
              <w:tc>
                <w:tcPr>
                  <w:tcW w:w="109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122374776.60</w:t>
                  </w:r>
                </w:p>
              </w:tc>
              <w:tc>
                <w:tcPr>
                  <w:tcW w:w="1298"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最大十个贷款人贷款余额（万元）</w:t>
                  </w:r>
                </w:p>
              </w:tc>
              <w:tc>
                <w:tcPr>
                  <w:tcW w:w="1242"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4953876.20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gridAfter w:val="1"/>
                <w:wAfter w:w="1242" w:type="pct"/>
                <w:jc w:val="center"/>
              </w:trPr>
              <w:tc>
                <w:tcPr>
                  <w:tcW w:w="136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存款（万元）</w:t>
                  </w:r>
                </w:p>
              </w:tc>
              <w:tc>
                <w:tcPr>
                  <w:tcW w:w="1094"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145043049.20</w:t>
                  </w:r>
                </w:p>
              </w:tc>
              <w:tc>
                <w:tcPr>
                  <w:tcW w:w="1298" w:type="pct"/>
                  <w:tcBorders>
                    <w:top w:val="single" w:color="A4A4A4" w:sz="8" w:space="0"/>
                    <w:left w:val="single" w:color="A4A4A4" w:sz="8" w:space="0"/>
                    <w:bottom w:val="single" w:color="A4A4A4" w:sz="8" w:space="0"/>
                    <w:right w:val="single" w:color="A4A4A4" w:sz="8" w:space="0"/>
                  </w:tcBorders>
                  <w:shd w:val="clear" w:color="auto" w:fill="auto"/>
                  <w:vAlign w:val="top"/>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 </w:t>
                  </w:r>
                </w:p>
              </w:tc>
            </w:tr>
          </w:tbl>
          <w:p>
            <w:pPr>
              <w:pStyle w:val="14"/>
              <w:keepNext w:val="0"/>
              <w:keepLines w:val="0"/>
              <w:widowControl/>
              <w:suppressLineNumbers w:val="0"/>
              <w:spacing w:before="75" w:beforeAutospacing="0" w:after="75" w:afterAutospacing="0" w:line="240" w:lineRule="auto"/>
              <w:ind w:right="0" w:firstLine="480" w:firstLineChars="2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eastAsia="zh-CN"/>
              </w:rPr>
              <w:t>金融监督管理局</w:t>
            </w:r>
            <w:r>
              <w:rPr>
                <w:rFonts w:hint="eastAsia" w:ascii="仿宋" w:hAnsi="仿宋" w:eastAsia="仿宋" w:cs="仿宋"/>
                <w:i w:val="0"/>
                <w:iCs w:val="0"/>
                <w:caps w:val="0"/>
                <w:color w:val="000000"/>
                <w:spacing w:val="0"/>
                <w:sz w:val="24"/>
                <w:szCs w:val="24"/>
              </w:rPr>
              <w:t>在收到</w:t>
            </w: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银行的测试申请后审核了其各方面标准，最终同意</w:t>
            </w: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银行进行沙盒测试</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lang w:val="en-US" w:eastAsia="zh-CN"/>
              </w:rPr>
              <w:t>并公示该测试项目</w:t>
            </w: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在公示期间公众向光大银行提出了关于“人工智能技术准确性不足”的意见，光大银行对该意见作出了解答；在公示期结束前，光大银行出具了全部的公众意见处理报告并上交自律组织，自律组织通过意见处理结果给出评估意见，评估通过后光大银行登记了项目并发布了自声明；在测试过程中公众投诉“该项目对个人信息保护不充分”，光大银行收到投诉后立马处理了这个问题，并对产品做出整改，消除了该项风险。2023年8月14日，自律组织下达给光大银行应用反馈任务，光大银行上报了2023年8月15日至9月15日一个月内的应用情况，在任务期间用户规模为1000万，交易量：6000万次，资金量：100000.00万元；自律组织收到任务反馈后评估了光大银行当前的项目风险，认为当前该项目风险较小，并对该项目做出了测试评价，最终通过了测试，金融监督管理局审核测试评价后也通过了测试；光大银行申请退出测试，自律组织受理后完成了项目测试。</w:t>
            </w:r>
          </w:p>
          <w:p>
            <w:pPr>
              <w:pStyle w:val="14"/>
              <w:keepNext w:val="0"/>
              <w:keepLines w:val="0"/>
              <w:widowControl/>
              <w:suppressLineNumbers w:val="0"/>
              <w:spacing w:before="75" w:beforeAutospacing="0" w:after="75" w:afterAutospacing="0" w:line="240" w:lineRule="auto"/>
              <w:ind w:left="0" w:right="0" w:firstLine="480" w:firstLineChars="2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为了明确银行当前的风险状况，</w:t>
            </w: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银行计划委托第三方审计机构在202</w:t>
            </w:r>
            <w:r>
              <w:rPr>
                <w:rFonts w:hint="eastAsia" w:ascii="仿宋" w:hAnsi="仿宋" w:eastAsia="仿宋" w:cs="仿宋"/>
                <w:i w:val="0"/>
                <w:iCs w:val="0"/>
                <w:caps w:val="0"/>
                <w:color w:val="000000"/>
                <w:spacing w:val="0"/>
                <w:sz w:val="24"/>
                <w:szCs w:val="24"/>
                <w:lang w:val="en-US" w:eastAsia="zh-CN"/>
              </w:rPr>
              <w:t>3</w:t>
            </w:r>
            <w:r>
              <w:rPr>
                <w:rFonts w:hint="eastAsia" w:ascii="仿宋" w:hAnsi="仿宋" w:eastAsia="仿宋" w:cs="仿宋"/>
                <w:i w:val="0"/>
                <w:iCs w:val="0"/>
                <w:caps w:val="0"/>
                <w:color w:val="000000"/>
                <w:spacing w:val="0"/>
                <w:sz w:val="24"/>
                <w:szCs w:val="24"/>
              </w:rPr>
              <w:t>年8月21日以非现场审计的方式对公司完成一次其它专项审计，以了解公司当前的风险状况以及财务状况，来判断公司当前的情况是否适合发展新的业务。第三方审计机构和</w:t>
            </w: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银行商定审计费用为5815万元，并接受了审计委托。审计完成后</w:t>
            </w: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银行查看审计报告，发现了自身的一些风险，于是决定自己定制一套风险预警模型来更好的控制自身风险</w:t>
            </w:r>
            <w:r>
              <w:rPr>
                <w:rFonts w:hint="eastAsia" w:ascii="仿宋" w:hAnsi="仿宋" w:eastAsia="仿宋" w:cs="仿宋"/>
                <w:i w:val="0"/>
                <w:iCs w:val="0"/>
                <w:caps w:val="0"/>
                <w:color w:val="000000"/>
                <w:spacing w:val="0"/>
                <w:sz w:val="24"/>
                <w:szCs w:val="24"/>
                <w:lang w:eastAsia="zh-CN"/>
              </w:rPr>
              <w:t>；</w:t>
            </w:r>
            <w:r>
              <w:rPr>
                <w:rFonts w:hint="eastAsia" w:ascii="仿宋" w:hAnsi="仿宋" w:eastAsia="仿宋" w:cs="仿宋"/>
                <w:i w:val="0"/>
                <w:iCs w:val="0"/>
                <w:caps w:val="0"/>
                <w:color w:val="000000"/>
                <w:spacing w:val="0"/>
                <w:sz w:val="24"/>
                <w:szCs w:val="24"/>
              </w:rPr>
              <w:t>风险模型创建完成后，</w:t>
            </w: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银行对自己的财务状况进行了一次风险预警。</w:t>
            </w:r>
          </w:p>
          <w:p>
            <w:pPr>
              <w:pStyle w:val="14"/>
              <w:keepNext w:val="0"/>
              <w:keepLines w:val="0"/>
              <w:widowControl/>
              <w:suppressLineNumbers w:val="0"/>
              <w:spacing w:before="75" w:beforeAutospacing="0" w:after="75" w:afterAutospacing="0" w:line="240" w:lineRule="auto"/>
              <w:ind w:left="0" w:right="0" w:firstLine="480" w:firstLineChars="2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lang w:eastAsia="zh-CN"/>
              </w:rPr>
              <w:t>光大</w:t>
            </w:r>
            <w:r>
              <w:rPr>
                <w:rFonts w:hint="eastAsia" w:ascii="仿宋" w:hAnsi="仿宋" w:eastAsia="仿宋" w:cs="仿宋"/>
                <w:i w:val="0"/>
                <w:iCs w:val="0"/>
                <w:caps w:val="0"/>
                <w:color w:val="000000"/>
                <w:spacing w:val="0"/>
                <w:sz w:val="24"/>
                <w:szCs w:val="24"/>
              </w:rPr>
              <w:t>银行风险识别模型：</w:t>
            </w:r>
          </w:p>
          <w:tbl>
            <w:tblPr>
              <w:tblStyle w:val="16"/>
              <w:tblW w:w="82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739"/>
              <w:gridCol w:w="1929"/>
              <w:gridCol w:w="1789"/>
              <w:gridCol w:w="1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风险属性</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低风险预警范围</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中风险预警范围</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left"/>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高风险预警范围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资本充足率</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4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256"/>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45%-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_257"/>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100%</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8"/>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15%-45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IMG_259"/>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IMG_260"/>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核心资本充足率</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IMG_261"/>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35%-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IMG_262"/>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100%</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IMG_263"/>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15%-35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descr="IMG_264"/>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descr="IMG_265"/>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5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IMG_266"/>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存贷款比率（贷款/存款)</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IMG_267"/>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0%-35%</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descr="IMG_268"/>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35%-70</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IMG_269"/>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descr="IMG_270"/>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70%-100</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descr="IMG_271"/>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流动比率（流动资产/流动负债）</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70%-</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descr="IMG_272"/>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100%</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descr="IMG_273"/>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30%-70%</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descr="IMG_274"/>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资产收益率（净利润/资产总额）</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IMG_275"/>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45%-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6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descr="IMG_276"/>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100%</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descr="IMG_277"/>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descr="IMG_278"/>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45%</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descr="IMG_279"/>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descr="IMG_280"/>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最大单一客户的贷款余额/净资本余额</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descr="IMG_281"/>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0%-5%</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descr="IMG_282"/>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descr="IMG_283"/>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20%</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9" descr="IMG_284"/>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20%-100%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73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t>最大十个贷款人贷款余额/净资本余额</w:t>
                  </w:r>
                </w:p>
              </w:tc>
              <w:tc>
                <w:tcPr>
                  <w:tcW w:w="192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descr="IMG_285"/>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0%-8%</w:t>
                  </w:r>
                </w:p>
              </w:tc>
              <w:tc>
                <w:tcPr>
                  <w:tcW w:w="1789"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7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1" descr="IMG_286"/>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8%-25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8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descr="IMG_287"/>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w:t>
                  </w:r>
                </w:p>
              </w:tc>
              <w:tc>
                <w:tcPr>
                  <w:tcW w:w="1754" w:type="dxa"/>
                  <w:tcBorders>
                    <w:top w:val="single" w:color="AAAAAA" w:sz="8" w:space="0"/>
                    <w:left w:val="single" w:color="AAAAAA" w:sz="8" w:space="0"/>
                    <w:bottom w:val="single" w:color="AAAAAA" w:sz="8" w:space="0"/>
                    <w:right w:val="single" w:color="AAAAAA" w:sz="8" w:space="0"/>
                  </w:tcBorders>
                  <w:shd w:val="clear" w:color="auto" w:fill="auto"/>
                  <w:vAlign w:val="center"/>
                </w:tcPr>
                <w:p>
                  <w:pPr>
                    <w:keepNext w:val="0"/>
                    <w:keepLines w:val="0"/>
                    <w:widowControl/>
                    <w:suppressLineNumbers w:val="0"/>
                    <w:spacing w:before="75" w:beforeAutospacing="0" w:after="75" w:afterAutospacing="0" w:line="240" w:lineRule="auto"/>
                    <w:ind w:left="0" w:right="0"/>
                    <w:jc w:val="center"/>
                    <w:rPr>
                      <w:rFonts w:hint="eastAsia" w:ascii="仿宋" w:hAnsi="仿宋" w:eastAsia="仿宋" w:cs="仿宋"/>
                      <w:sz w:val="24"/>
                      <w:szCs w:val="24"/>
                    </w:rPr>
                  </w:pP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8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descr="IMG_288"/>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25%-</w:t>
                  </w:r>
                  <w:r>
                    <w:rPr>
                      <w:rFonts w:hint="eastAsia" w:ascii="仿宋" w:hAnsi="仿宋" w:eastAsia="仿宋" w:cs="仿宋"/>
                      <w:caps w:val="0"/>
                      <w:spacing w:val="0"/>
                      <w:kern w:val="0"/>
                      <w:sz w:val="24"/>
                      <w:szCs w:val="24"/>
                      <w:lang w:val="en-US" w:eastAsia="zh-CN" w:bidi="ar"/>
                    </w:rPr>
                    <w:drawing>
                      <wp:inline distT="0" distB="0" distL="114300" distR="114300">
                        <wp:extent cx="9525" cy="9525"/>
                        <wp:effectExtent l="0" t="0" r="0" b="0"/>
                        <wp:docPr id="8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descr="IMG_289"/>
                                <pic:cNvPicPr>
                                  <a:picLocks noChangeAspect="1"/>
                                </pic:cNvPicPr>
                              </pic:nvPicPr>
                              <pic:blipFill>
                                <a:blip r:embed="rId12"/>
                                <a:stretch>
                                  <a:fillRect/>
                                </a:stretch>
                              </pic:blipFill>
                              <pic:spPr>
                                <a:xfrm>
                                  <a:off x="0" y="0"/>
                                  <a:ext cx="9525" cy="9525"/>
                                </a:xfrm>
                                <a:prstGeom prst="rect">
                                  <a:avLst/>
                                </a:prstGeom>
                                <a:noFill/>
                                <a:ln w="9525">
                                  <a:noFill/>
                                </a:ln>
                              </pic:spPr>
                            </pic:pic>
                          </a:graphicData>
                        </a:graphic>
                      </wp:inline>
                    </w:drawing>
                  </w:r>
                  <w:r>
                    <w:rPr>
                      <w:rFonts w:hint="eastAsia" w:ascii="仿宋" w:hAnsi="仿宋" w:eastAsia="仿宋" w:cs="仿宋"/>
                      <w:caps w:val="0"/>
                      <w:spacing w:val="0"/>
                      <w:kern w:val="0"/>
                      <w:sz w:val="24"/>
                      <w:szCs w:val="24"/>
                      <w:lang w:val="en-US" w:eastAsia="zh-CN" w:bidi="ar"/>
                    </w:rPr>
                    <w:t>100%</w:t>
                  </w:r>
                </w:p>
              </w:tc>
            </w:tr>
          </w:tbl>
          <w:p>
            <w:pPr>
              <w:pStyle w:val="14"/>
              <w:keepNext w:val="0"/>
              <w:keepLines w:val="0"/>
              <w:widowControl/>
              <w:suppressLineNumbers w:val="0"/>
              <w:spacing w:before="75" w:beforeAutospacing="0" w:after="75" w:afterAutospacing="0" w:line="240" w:lineRule="auto"/>
              <w:ind w:left="0" w:right="0" w:firstLine="480" w:firstLineChars="200"/>
              <w:rPr>
                <w:rFonts w:hint="eastAsia" w:ascii="仿宋" w:hAnsi="仿宋" w:eastAsia="仿宋" w:cs="仿宋"/>
                <w:b w:val="0"/>
                <w:bCs w:val="0"/>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职业要素</w:t>
            </w:r>
          </w:p>
        </w:tc>
        <w:tc>
          <w:tcPr>
            <w:tcW w:w="8051"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 xml:space="preserve">基本专业素养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专业实践技能  </w:t>
            </w:r>
            <w:r>
              <w:rPr>
                <w:rFonts w:hint="eastAsia" w:ascii="仿宋" w:hAnsi="仿宋" w:eastAsia="仿宋" w:cs="仿宋"/>
                <w:color w:val="000000"/>
                <w:sz w:val="24"/>
                <w:szCs w:val="24"/>
                <w:highlight w:val="none"/>
                <w:lang w:val="en-US" w:eastAsia="zh-CN"/>
              </w:rPr>
              <w:sym w:font="Wingdings 2" w:char="0052"/>
            </w:r>
            <w:r>
              <w:rPr>
                <w:rFonts w:hint="eastAsia" w:ascii="仿宋" w:hAnsi="仿宋" w:eastAsia="仿宋" w:cs="仿宋"/>
                <w:color w:val="000000"/>
                <w:sz w:val="24"/>
                <w:szCs w:val="24"/>
                <w:highlight w:val="none"/>
                <w:lang w:val="en-US" w:eastAsia="zh-CN"/>
              </w:rPr>
              <w:t xml:space="preserve">协调协作能力  </w:t>
            </w:r>
            <w:r>
              <w:rPr>
                <w:rFonts w:hint="eastAsia" w:ascii="仿宋" w:hAnsi="仿宋" w:eastAsia="仿宋" w:cs="仿宋"/>
                <w:color w:val="000000"/>
                <w:sz w:val="24"/>
                <w:szCs w:val="24"/>
                <w:highlight w:val="none"/>
                <w:lang w:val="en-US" w:eastAsia="zh-CN"/>
              </w:rPr>
              <w:sym w:font="Wingdings 2" w:char="00A3"/>
            </w:r>
            <w:r>
              <w:rPr>
                <w:rFonts w:hint="eastAsia" w:ascii="仿宋" w:hAnsi="仿宋" w:eastAsia="仿宋" w:cs="仿宋"/>
                <w:color w:val="000000"/>
                <w:sz w:val="24"/>
                <w:szCs w:val="24"/>
                <w:highlight w:val="none"/>
                <w:lang w:val="en-US" w:eastAsia="zh-CN"/>
              </w:rPr>
              <w:t>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180" w:type="dxa"/>
            <w:vMerge w:val="restart"/>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具体任务要求</w:t>
            </w:r>
          </w:p>
        </w:tc>
        <w:tc>
          <w:tcPr>
            <w:tcW w:w="124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子任务序号</w:t>
            </w:r>
          </w:p>
        </w:tc>
        <w:tc>
          <w:tcPr>
            <w:tcW w:w="1724" w:type="dxa"/>
            <w:gridSpan w:val="2"/>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任务要求</w:t>
            </w:r>
          </w:p>
        </w:tc>
        <w:tc>
          <w:tcPr>
            <w:tcW w:w="1976"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操作过程</w:t>
            </w:r>
          </w:p>
        </w:tc>
        <w:tc>
          <w:tcPr>
            <w:tcW w:w="190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考核点</w:t>
            </w:r>
          </w:p>
        </w:tc>
        <w:tc>
          <w:tcPr>
            <w:tcW w:w="1211"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180"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24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子任务1-1</w:t>
            </w:r>
          </w:p>
        </w:tc>
        <w:tc>
          <w:tcPr>
            <w:tcW w:w="1724"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运用金融科技风险控制技术完成金融机构风险识别业务</w:t>
            </w:r>
          </w:p>
        </w:tc>
        <w:tc>
          <w:tcPr>
            <w:tcW w:w="1976" w:type="dxa"/>
            <w:noWrap w:val="0"/>
            <w:vAlign w:val="center"/>
          </w:tcPr>
          <w:p>
            <w:pPr>
              <w:pStyle w:val="15"/>
              <w:spacing w:after="0" w:line="240" w:lineRule="auto"/>
              <w:ind w:left="0" w:leftChars="0" w:firstLine="0" w:firstLineChars="0"/>
              <w:rPr>
                <w:rFonts w:hint="eastAsia" w:ascii="仿宋" w:hAnsi="仿宋" w:eastAsia="仿宋" w:cs="仿宋"/>
                <w:b w:val="0"/>
                <w:bCs w:val="0"/>
                <w:color w:val="auto"/>
                <w:spacing w:val="-3"/>
                <w:sz w:val="24"/>
                <w:szCs w:val="24"/>
                <w:lang w:val="en-US" w:eastAsia="zh-CN" w:bidi="zh-CN"/>
              </w:rPr>
            </w:pPr>
            <w:r>
              <w:rPr>
                <w:rFonts w:hint="eastAsia" w:ascii="仿宋" w:hAnsi="仿宋" w:eastAsia="仿宋" w:cs="仿宋"/>
                <w:b w:val="0"/>
                <w:bCs w:val="0"/>
                <w:color w:val="auto"/>
                <w:spacing w:val="-3"/>
                <w:sz w:val="24"/>
                <w:szCs w:val="24"/>
                <w:lang w:val="en-US" w:eastAsia="zh-CN" w:bidi="zh-CN"/>
              </w:rPr>
              <w:t>1.识别</w:t>
            </w:r>
            <w:r>
              <w:rPr>
                <w:rFonts w:hint="eastAsia" w:ascii="仿宋" w:hAnsi="仿宋" w:eastAsia="仿宋" w:cs="仿宋"/>
                <w:color w:val="000000"/>
                <w:sz w:val="24"/>
                <w:szCs w:val="24"/>
                <w:highlight w:val="none"/>
                <w:lang w:val="en-US" w:eastAsia="zh-CN"/>
              </w:rPr>
              <w:t>金融</w:t>
            </w:r>
            <w:r>
              <w:rPr>
                <w:rFonts w:hint="eastAsia" w:ascii="仿宋" w:hAnsi="仿宋" w:eastAsia="仿宋" w:cs="仿宋"/>
                <w:b w:val="0"/>
                <w:bCs w:val="0"/>
                <w:color w:val="auto"/>
                <w:spacing w:val="-3"/>
                <w:sz w:val="24"/>
                <w:szCs w:val="24"/>
                <w:lang w:val="en-US" w:eastAsia="zh-CN" w:bidi="zh-CN"/>
              </w:rPr>
              <w:t>机构风险</w:t>
            </w:r>
          </w:p>
        </w:tc>
        <w:tc>
          <w:tcPr>
            <w:tcW w:w="1900" w:type="dxa"/>
            <w:noWrap w:val="0"/>
            <w:vAlign w:val="center"/>
          </w:tcPr>
          <w:p>
            <w:pPr>
              <w:pStyle w:val="15"/>
              <w:spacing w:after="0" w:line="240" w:lineRule="auto"/>
              <w:ind w:left="0" w:leftChars="0" w:firstLine="0" w:firstLine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1.金融机构财务信息</w:t>
            </w:r>
          </w:p>
        </w:tc>
        <w:tc>
          <w:tcPr>
            <w:tcW w:w="121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24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子任务1-2</w:t>
            </w:r>
          </w:p>
        </w:tc>
        <w:tc>
          <w:tcPr>
            <w:tcW w:w="1724"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使用监管沙盒模式完成金融科技创新项目测试</w:t>
            </w:r>
          </w:p>
        </w:tc>
        <w:tc>
          <w:tcPr>
            <w:tcW w:w="1976"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1.发布创新项目试点公告</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2.项目申报</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3.测试声明申请</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4.项目测试审批</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5.项目公示</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6.公众提出意见</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7.金融机构处理意见</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8.出具意见处理报告</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9.登记项目并发布自声明</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10.自律组织监管金融机构</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11.金融机构反馈应用情况</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12.公众提出投诉意见</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13.金融机构处理公众投诉</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14.自律组织处置金融机构风险</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15.自律组织出具测试评价</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16.金融机构申请退出测试</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17.自律组织受理退出测试</w:t>
            </w:r>
          </w:p>
        </w:tc>
        <w:tc>
          <w:tcPr>
            <w:tcW w:w="1900"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1.金融科技创新项目信息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2.公众意见信息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3.公众投诉意见信息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4.反馈任务信息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5.评估意见信息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6.测试评价信息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7.监管沙盒测试流程</w:t>
            </w:r>
          </w:p>
        </w:tc>
        <w:tc>
          <w:tcPr>
            <w:tcW w:w="121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24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子任务1-3</w:t>
            </w:r>
          </w:p>
        </w:tc>
        <w:tc>
          <w:tcPr>
            <w:tcW w:w="1724"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运用金融风险控制、企业风险分析技术完成非现场审计业务</w:t>
            </w:r>
          </w:p>
        </w:tc>
        <w:tc>
          <w:tcPr>
            <w:tcW w:w="1976" w:type="dxa"/>
            <w:noWrap w:val="0"/>
            <w:vAlign w:val="center"/>
          </w:tcPr>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1.委托第三方审计机构非现场审计</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2.第三方审计机构接受委托</w:t>
            </w:r>
          </w:p>
          <w:p>
            <w:pPr>
              <w:pStyle w:val="15"/>
              <w:spacing w:after="0" w:line="240" w:lineRule="auto"/>
              <w:ind w:left="0" w:leftChars="0" w:firstLine="0" w:firstLineChars="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3.非现场审计</w:t>
            </w:r>
          </w:p>
        </w:tc>
        <w:tc>
          <w:tcPr>
            <w:tcW w:w="1900"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1.审计委托信息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2.非现场审计流程</w:t>
            </w:r>
          </w:p>
        </w:tc>
        <w:tc>
          <w:tcPr>
            <w:tcW w:w="121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180"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240" w:type="dxa"/>
            <w:noWrap w:val="0"/>
            <w:vAlign w:val="center"/>
          </w:tcPr>
          <w:p>
            <w:pPr>
              <w:pStyle w:val="15"/>
              <w:spacing w:after="0" w:line="240" w:lineRule="auto"/>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子任务1-4</w:t>
            </w:r>
          </w:p>
        </w:tc>
        <w:tc>
          <w:tcPr>
            <w:tcW w:w="1724"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运用金融风险防范技术完成风险预警业务</w:t>
            </w:r>
          </w:p>
        </w:tc>
        <w:tc>
          <w:tcPr>
            <w:tcW w:w="1976"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1.制定风险预警模型</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2.执行风险预警</w:t>
            </w:r>
          </w:p>
        </w:tc>
        <w:tc>
          <w:tcPr>
            <w:tcW w:w="1900"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1.风险预警模型信息</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2.风险预警流程</w:t>
            </w:r>
          </w:p>
        </w:tc>
        <w:tc>
          <w:tcPr>
            <w:tcW w:w="121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1.安全操作规范（0%）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2.专业操作工艺（10%)</w:t>
            </w:r>
          </w:p>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3.任务与功能验证（90%)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80"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240" w:type="dxa"/>
            <w:noWrap w:val="0"/>
            <w:vAlign w:val="center"/>
          </w:tcPr>
          <w:p>
            <w:pPr>
              <w:pStyle w:val="2"/>
              <w:ind w:left="0" w:leftChars="0" w:firstLine="0" w:firstLineChars="0"/>
              <w:jc w:val="center"/>
              <w:rPr>
                <w:rFonts w:hint="eastAsia" w:ascii="仿宋" w:hAnsi="仿宋" w:eastAsia="仿宋" w:cs="仿宋"/>
                <w:color w:val="000000"/>
                <w:sz w:val="24"/>
                <w:szCs w:val="24"/>
                <w:highlight w:val="none"/>
                <w:lang w:val="en-US" w:eastAsia="zh-CN"/>
              </w:rPr>
            </w:pPr>
            <w:r>
              <w:rPr>
                <w:rFonts w:hint="eastAsia" w:eastAsia="仿宋" w:cs="Times New Roman"/>
                <w:color w:val="000000"/>
                <w:sz w:val="24"/>
                <w:szCs w:val="24"/>
                <w:lang w:val="en-US" w:eastAsia="zh-CN"/>
              </w:rPr>
              <w:t>其他任务</w:t>
            </w:r>
          </w:p>
        </w:tc>
        <w:tc>
          <w:tcPr>
            <w:tcW w:w="1724" w:type="dxa"/>
            <w:gridSpan w:val="2"/>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highlight w:val="none"/>
              </w:rPr>
              <w:t>更多样题详见题库素材包</w:t>
            </w:r>
          </w:p>
        </w:tc>
        <w:tc>
          <w:tcPr>
            <w:tcW w:w="1976" w:type="dxa"/>
            <w:noWrap w:val="0"/>
            <w:vAlign w:val="center"/>
          </w:tcPr>
          <w:p>
            <w:pPr>
              <w:jc w:val="center"/>
              <w:rPr>
                <w:rFonts w:hint="eastAsia" w:ascii="仿宋" w:hAnsi="仿宋" w:eastAsia="仿宋" w:cs="仿宋"/>
                <w:color w:val="000000"/>
                <w:sz w:val="24"/>
                <w:szCs w:val="24"/>
                <w:highlight w:val="none"/>
                <w:lang w:val="en-US" w:eastAsia="zh-CN"/>
              </w:rPr>
            </w:pPr>
            <w:r>
              <w:rPr>
                <w:rFonts w:hint="eastAsia" w:ascii="仿宋_GB2312" w:eastAsia="仿宋_GB2312"/>
                <w:sz w:val="24"/>
                <w:szCs w:val="24"/>
              </w:rPr>
              <w:t>......</w:t>
            </w:r>
          </w:p>
        </w:tc>
        <w:tc>
          <w:tcPr>
            <w:tcW w:w="1900"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c>
          <w:tcPr>
            <w:tcW w:w="1211" w:type="dxa"/>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80" w:type="dxa"/>
            <w:vMerge w:val="restart"/>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赛项技术规范</w:t>
            </w:r>
          </w:p>
        </w:tc>
        <w:tc>
          <w:tcPr>
            <w:tcW w:w="1776"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涉及专业教学要求</w:t>
            </w:r>
          </w:p>
        </w:tc>
        <w:tc>
          <w:tcPr>
            <w:tcW w:w="6275" w:type="dxa"/>
            <w:gridSpan w:val="4"/>
            <w:noWrap w:val="0"/>
            <w:vAlign w:val="center"/>
          </w:tcPr>
          <w:p>
            <w:pPr>
              <w:pStyle w:val="15"/>
              <w:numPr>
                <w:ilvl w:val="0"/>
                <w:numId w:val="0"/>
              </w:numPr>
              <w:spacing w:after="0" w:line="240" w:lineRule="auto"/>
              <w:ind w:leftChars="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1.根据相关法律法规和行业规范开展金融服务和业务风险审查的能力；</w:t>
            </w:r>
          </w:p>
          <w:p>
            <w:pPr>
              <w:pStyle w:val="15"/>
              <w:numPr>
                <w:ilvl w:val="0"/>
                <w:numId w:val="0"/>
              </w:numPr>
              <w:spacing w:after="0" w:line="240" w:lineRule="auto"/>
              <w:ind w:leftChars="0"/>
              <w:jc w:val="both"/>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2.金融数据处理技能和信息技术应用的能力；</w:t>
            </w:r>
          </w:p>
          <w:p>
            <w:pPr>
              <w:pStyle w:val="15"/>
              <w:numPr>
                <w:ilvl w:val="0"/>
                <w:numId w:val="0"/>
              </w:numPr>
              <w:spacing w:after="0" w:line="240" w:lineRule="auto"/>
              <w:ind w:leftChars="0"/>
              <w:jc w:val="both"/>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auto"/>
                <w:sz w:val="24"/>
                <w:szCs w:val="24"/>
                <w:highlight w:val="none"/>
                <w:shd w:val="clear" w:color="auto" w:fill="auto"/>
                <w:lang w:val="en-US" w:eastAsia="zh-CN"/>
              </w:rPr>
              <w:t>3.运用创新意识、互联网思维研究并解决问题的能力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vMerge w:val="continue"/>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p>
        </w:tc>
        <w:tc>
          <w:tcPr>
            <w:tcW w:w="1776" w:type="dxa"/>
            <w:gridSpan w:val="2"/>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遵循国家标准和行业标准</w:t>
            </w:r>
          </w:p>
        </w:tc>
        <w:tc>
          <w:tcPr>
            <w:tcW w:w="6275" w:type="dxa"/>
            <w:gridSpan w:val="4"/>
            <w:noWrap w:val="0"/>
            <w:vAlign w:val="center"/>
          </w:tcPr>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i w:val="0"/>
                <w:iCs w:val="0"/>
                <w:caps w:val="0"/>
                <w:color w:val="333333"/>
                <w:spacing w:val="0"/>
                <w:sz w:val="24"/>
                <w:szCs w:val="24"/>
                <w:shd w:val="clear" w:fill="FFFFFF"/>
                <w:lang w:val="en-US" w:eastAsia="zh-CN"/>
              </w:rPr>
              <w:t>1.</w:t>
            </w:r>
            <w:r>
              <w:rPr>
                <w:rFonts w:hint="eastAsia" w:ascii="仿宋" w:hAnsi="仿宋" w:eastAsia="仿宋" w:cs="仿宋"/>
                <w:b w:val="0"/>
                <w:bCs w:val="0"/>
                <w:i w:val="0"/>
                <w:iCs w:val="0"/>
                <w:caps w:val="0"/>
                <w:color w:val="333333"/>
                <w:spacing w:val="0"/>
                <w:sz w:val="24"/>
                <w:szCs w:val="24"/>
                <w:shd w:val="clear" w:fill="FFFFFF"/>
              </w:rPr>
              <w:t>JR/T 0201-2020</w:t>
            </w:r>
            <w:r>
              <w:rPr>
                <w:rFonts w:hint="eastAsia" w:ascii="仿宋" w:hAnsi="仿宋" w:eastAsia="仿宋" w:cs="仿宋"/>
                <w:b w:val="0"/>
                <w:bCs w:val="0"/>
                <w:i w:val="0"/>
                <w:iCs w:val="0"/>
                <w:caps w:val="0"/>
                <w:color w:val="333333"/>
                <w:spacing w:val="0"/>
                <w:sz w:val="24"/>
                <w:szCs w:val="24"/>
                <w:shd w:val="clear" w:fill="FFFFFF"/>
                <w:lang w:val="en-US" w:eastAsia="zh-CN"/>
              </w:rPr>
              <w:t xml:space="preserve">  </w:t>
            </w:r>
            <w:r>
              <w:rPr>
                <w:rFonts w:hint="eastAsia" w:ascii="仿宋" w:hAnsi="仿宋" w:eastAsia="仿宋" w:cs="仿宋"/>
                <w:b w:val="0"/>
                <w:bCs w:val="0"/>
                <w:color w:val="000000"/>
                <w:sz w:val="24"/>
                <w:szCs w:val="24"/>
                <w:highlight w:val="none"/>
                <w:lang w:val="en-US" w:eastAsia="zh-CN"/>
              </w:rPr>
              <w:t>金融科技发展指标</w:t>
            </w:r>
          </w:p>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w:t>
            </w:r>
            <w:r>
              <w:rPr>
                <w:rFonts w:hint="eastAsia" w:ascii="仿宋" w:hAnsi="仿宋" w:eastAsia="仿宋" w:cs="仿宋"/>
                <w:b w:val="0"/>
                <w:bCs w:val="0"/>
                <w:sz w:val="24"/>
                <w:szCs w:val="24"/>
              </w:rPr>
              <w:t>JR/T 0200-2020</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color w:val="000000"/>
                <w:sz w:val="24"/>
                <w:szCs w:val="24"/>
                <w:highlight w:val="none"/>
                <w:lang w:val="en-US" w:eastAsia="zh-CN"/>
              </w:rPr>
              <w:t>金融科技创新风险监控规范</w:t>
            </w:r>
          </w:p>
          <w:p>
            <w:pPr>
              <w:pStyle w:val="15"/>
              <w:numPr>
                <w:ilvl w:val="0"/>
                <w:numId w:val="0"/>
              </w:numPr>
              <w:spacing w:after="0" w:line="240" w:lineRule="auto"/>
              <w:ind w:leftChars="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w:t>
            </w:r>
            <w:r>
              <w:rPr>
                <w:rFonts w:hint="eastAsia" w:ascii="仿宋" w:hAnsi="仿宋" w:eastAsia="仿宋" w:cs="仿宋"/>
                <w:b w:val="0"/>
                <w:bCs w:val="0"/>
                <w:sz w:val="24"/>
                <w:szCs w:val="24"/>
              </w:rPr>
              <w:t>JR/T 0199-2020</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color w:val="000000"/>
                <w:sz w:val="24"/>
                <w:szCs w:val="24"/>
                <w:highlight w:val="none"/>
                <w:lang w:val="en-US" w:eastAsia="zh-CN"/>
              </w:rPr>
              <w:t>金融科技创新安全通用规范</w:t>
            </w:r>
          </w:p>
          <w:p>
            <w:pPr>
              <w:pStyle w:val="15"/>
              <w:numPr>
                <w:ilvl w:val="0"/>
                <w:numId w:val="0"/>
              </w:numPr>
              <w:spacing w:after="0" w:line="240" w:lineRule="auto"/>
              <w:ind w:leftChars="0"/>
              <w:rPr>
                <w:rFonts w:hint="eastAsia" w:ascii="仿宋" w:hAnsi="仿宋" w:eastAsia="仿宋" w:cs="仿宋"/>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4.</w:t>
            </w:r>
            <w:r>
              <w:rPr>
                <w:rFonts w:hint="eastAsia" w:ascii="仿宋" w:hAnsi="仿宋" w:eastAsia="仿宋" w:cs="仿宋"/>
                <w:b w:val="0"/>
                <w:bCs w:val="0"/>
                <w:i w:val="0"/>
                <w:iCs w:val="0"/>
                <w:caps w:val="0"/>
                <w:color w:val="333333"/>
                <w:spacing w:val="0"/>
                <w:kern w:val="0"/>
                <w:sz w:val="24"/>
                <w:szCs w:val="24"/>
                <w:lang w:val="en-US" w:eastAsia="zh-CN" w:bidi="ar"/>
              </w:rPr>
              <w:t xml:space="preserve">JR/T 0198-2020  </w:t>
            </w:r>
            <w:r>
              <w:rPr>
                <w:rFonts w:hint="eastAsia" w:ascii="仿宋" w:hAnsi="仿宋" w:eastAsia="仿宋" w:cs="仿宋"/>
                <w:b w:val="0"/>
                <w:bCs w:val="0"/>
                <w:color w:val="000000"/>
                <w:sz w:val="24"/>
                <w:szCs w:val="24"/>
                <w:highlight w:val="none"/>
                <w:lang w:val="en-US" w:eastAsia="zh-CN"/>
              </w:rPr>
              <w:t>金融科技创新应用测试规范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赛项赛场准备</w:t>
            </w:r>
          </w:p>
        </w:tc>
        <w:tc>
          <w:tcPr>
            <w:tcW w:w="8051"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场地、材料、设备、检测工具、安全防护要求等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0" w:type="dxa"/>
            <w:noWrap w:val="0"/>
            <w:vAlign w:val="center"/>
          </w:tcPr>
          <w:p>
            <w:pPr>
              <w:pStyle w:val="15"/>
              <w:adjustRightInd w:val="0"/>
              <w:snapToGrid w:val="0"/>
              <w:spacing w:after="0" w:line="240" w:lineRule="auto"/>
              <w:ind w:left="0" w:leftChars="0" w:firstLine="0" w:firstLineChars="0"/>
              <w:jc w:val="center"/>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注意事项</w:t>
            </w:r>
          </w:p>
        </w:tc>
        <w:tc>
          <w:tcPr>
            <w:tcW w:w="8051" w:type="dxa"/>
            <w:gridSpan w:val="6"/>
            <w:noWrap w:val="0"/>
            <w:vAlign w:val="center"/>
          </w:tcPr>
          <w:p>
            <w:pPr>
              <w:pStyle w:val="15"/>
              <w:spacing w:after="0" w:line="240" w:lineRule="auto"/>
              <w:ind w:left="0" w:leftChars="0" w:firstLine="0" w:firstLineChars="0"/>
              <w:rPr>
                <w:rFonts w:hint="eastAsia" w:ascii="仿宋" w:hAnsi="仿宋" w:eastAsia="仿宋" w:cs="仿宋"/>
                <w:color w:val="000000"/>
                <w:sz w:val="24"/>
                <w:szCs w:val="24"/>
                <w:highlight w:val="none"/>
                <w:lang w:val="en-US" w:eastAsia="zh-CN"/>
              </w:rPr>
            </w:pPr>
          </w:p>
        </w:tc>
      </w:tr>
    </w:tbl>
    <w:p>
      <w:pPr>
        <w:numPr>
          <w:ilvl w:val="0"/>
          <w:numId w:val="0"/>
        </w:numPr>
        <w:rPr>
          <w:rFonts w:hint="eastAsia"/>
          <w:lang w:val="en-US" w:eastAsia="zh-CN"/>
        </w:rPr>
      </w:pPr>
    </w:p>
    <w:p>
      <w:pPr>
        <w:numPr>
          <w:ilvl w:val="-1"/>
          <w:numId w:val="0"/>
        </w:numPr>
        <w:spacing w:before="156" w:beforeLines="50" w:after="156" w:afterLines="50"/>
        <w:ind w:left="0" w:leftChars="0" w:firstLine="640" w:firstLineChars="200"/>
        <w:outlineLvl w:val="0"/>
        <w:rPr>
          <w:rFonts w:hint="eastAsia" w:ascii="黑体" w:eastAsia="黑体"/>
          <w:color w:val="auto"/>
          <w:sz w:val="32"/>
          <w:szCs w:val="32"/>
        </w:rPr>
      </w:pPr>
      <w:r>
        <w:rPr>
          <w:rFonts w:hint="eastAsia" w:ascii="黑体" w:eastAsia="黑体"/>
          <w:color w:val="auto"/>
          <w:sz w:val="32"/>
          <w:szCs w:val="32"/>
          <w:lang w:val="en-US" w:eastAsia="zh-CN"/>
        </w:rPr>
        <w:t>十、</w:t>
      </w:r>
      <w:r>
        <w:rPr>
          <w:rFonts w:hint="eastAsia" w:ascii="黑体" w:eastAsia="黑体"/>
          <w:color w:val="auto"/>
          <w:sz w:val="32"/>
          <w:szCs w:val="32"/>
        </w:rPr>
        <w:t>赛项安全</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pPr>
        <w:adjustRightInd w:val="0"/>
        <w:snapToGrid w:val="0"/>
        <w:spacing w:line="360" w:lineRule="auto"/>
        <w:ind w:right="0" w:rightChars="0" w:firstLine="546" w:firstLineChars="200"/>
        <w:jc w:val="left"/>
        <w:rPr>
          <w:rFonts w:hint="eastAsia" w:ascii="仿宋_GB2312" w:hAnsi="仿宋_GB2312" w:eastAsia="仿宋_GB2312" w:cs="仿宋_GB2312"/>
          <w:color w:val="auto"/>
          <w:sz w:val="28"/>
          <w:szCs w:val="28"/>
        </w:rPr>
      </w:pPr>
      <w:r>
        <w:rPr>
          <w:rFonts w:hint="eastAsia" w:ascii="楷体" w:hAnsi="楷体" w:eastAsia="楷体" w:cs="楷体"/>
          <w:b/>
          <w:bCs/>
          <w:color w:val="auto"/>
          <w:spacing w:val="-4"/>
          <w:sz w:val="28"/>
          <w:szCs w:val="28"/>
          <w:highlight w:val="none"/>
        </w:rPr>
        <w:t>（一）组织管理</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1.成立由赛项执委会主任担任组长的安全管理专班，负责赛项安全管理。</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2.疫情防控专班建立与卫生、疾病防疫等部门的协调机制，制定应急预案、处置突发事件，保证赛区及其赛项的疫情防控安全工作。</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3.安全管理专班建立与行政、交通、公安、司法、消防、食品卫生、质量监督等部门的协调机制，制定应急预案、处置突发事件，保证赛区及其赛项的安全。</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安全管理专班指定工作人员对赛场供电线路、消防设施、比赛设备，在赛前一周，进行安全检查，提出整改要求。赛前一天，对赛场进行安全验收，各项指标合格，在验收书签字确认并交付使用。签字验收的工作人员，对赛场的供电线路、消防设施、比赛设备的安全负责。</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5.赛场设置突发事件撤离的安全通道，并保证比赛期间通道的畅通。</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6.赛区配备救护车1台，停放在赛场外，赛场出现人员伤病时，送附近医院救治。</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7.协调食品卫生部门，对赛项选手驻地的餐饮卫生进行检查，保证选手的饮食安全。</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8.协调交通部门，监视参赛代表队和学生参观、参赛、出席会议的交通线路，保证赛项的交通安全。</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9.协调公安部门，管理赛区和选手驻地的治安，保证选手的人身和财产安全。</w:t>
      </w:r>
    </w:p>
    <w:p>
      <w:pPr>
        <w:adjustRightInd w:val="0"/>
        <w:snapToGrid w:val="0"/>
        <w:spacing w:line="360" w:lineRule="auto"/>
        <w:ind w:right="0" w:rightChars="0" w:firstLine="546" w:firstLineChars="200"/>
        <w:jc w:val="left"/>
        <w:rPr>
          <w:rFonts w:hint="eastAsia" w:ascii="楷体" w:hAnsi="楷体" w:eastAsia="楷体" w:cs="楷体"/>
          <w:b/>
          <w:bCs/>
          <w:color w:val="auto"/>
          <w:spacing w:val="-4"/>
          <w:sz w:val="28"/>
          <w:szCs w:val="28"/>
          <w:highlight w:val="none"/>
        </w:rPr>
      </w:pPr>
      <w:r>
        <w:rPr>
          <w:rFonts w:hint="eastAsia" w:ascii="楷体" w:hAnsi="楷体" w:eastAsia="楷体" w:cs="楷体"/>
          <w:b/>
          <w:bCs/>
          <w:color w:val="auto"/>
          <w:spacing w:val="-4"/>
          <w:sz w:val="28"/>
          <w:szCs w:val="28"/>
          <w:highlight w:val="none"/>
        </w:rPr>
        <w:t>（二）比赛环境</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3.承办单位应提供保证应急预案实施的条件。对于比赛内容涉及高空作业、可能有坠物、大用电量、易发生火灾等情况的赛项，必须明确制度和预案，并配备急救人员与设施。</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4.严格控制与参赛无关的易燃易爆以及各类危险品进入比赛场地，不许随便携带书包进入赛场。</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5.配备先进的仪器，防止有人利用电磁波干扰比赛秩序。大赛现场需对赛场进行网络安全控制，以免场内外信息交互，充分体现大赛的严肃、公平和公正性。</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6.执委会须会同承办单位制定开放赛场和体验区的人员疏导方案。赛场环境中存在人员密集、车流人流交错的区域，除了设置齐全的指示标志外，须增加引导人员，并开辟备用通道。</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7.大赛期间，承办单位须在赛场管理的关键岗位，增加力量，建立安全管理日志。</w:t>
      </w:r>
    </w:p>
    <w:p>
      <w:pPr>
        <w:adjustRightInd w:val="0"/>
        <w:snapToGrid w:val="0"/>
        <w:spacing w:line="360" w:lineRule="auto"/>
        <w:ind w:right="0" w:rightChars="0" w:firstLine="546" w:firstLineChars="200"/>
        <w:jc w:val="left"/>
        <w:rPr>
          <w:rFonts w:hint="eastAsia" w:ascii="仿宋_GB2312" w:hAnsi="仿宋_GB2312" w:eastAsia="仿宋_GB2312" w:cs="仿宋_GB2312"/>
          <w:b/>
          <w:bCs/>
          <w:color w:val="auto"/>
          <w:sz w:val="28"/>
          <w:szCs w:val="28"/>
        </w:rPr>
      </w:pPr>
      <w:r>
        <w:rPr>
          <w:rFonts w:hint="eastAsia" w:ascii="楷体" w:hAnsi="楷体" w:eastAsia="楷体" w:cs="楷体"/>
          <w:b/>
          <w:bCs/>
          <w:color w:val="auto"/>
          <w:spacing w:val="-4"/>
          <w:sz w:val="28"/>
          <w:szCs w:val="28"/>
          <w:highlight w:val="none"/>
        </w:rPr>
        <w:t>（三）生活条件</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1.比赛期间，原则上由执委会统一安排参赛选手和指导教师食宿。承办单位须尊重少数民族的信仰及文化，根据国家相关的民族政策，安排好少数民族选手和教师的饮食起居。</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2.比赛期间安排的住宿地应具有宾馆/住宿经营许可资质。以学校宿舍作为住宿地的，大赛期间的住宿、卫生、饮食安全等由执委会和提供宿舍的学校共同负责。</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3.大赛期间有组织地参观和观摩活动的交通安全由执委会负责。执委会和承办单位须保证比赛期间选手、指导教师和裁判员、工作人员的交通安全。</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4.各赛项的安全管理，除了可以采取必要的安全隔离措施外，应严格遵守国家相关法律法规，保护个人隐私和人身自由。</w:t>
      </w:r>
    </w:p>
    <w:p>
      <w:pPr>
        <w:adjustRightInd w:val="0"/>
        <w:snapToGrid w:val="0"/>
        <w:spacing w:line="360" w:lineRule="auto"/>
        <w:ind w:right="0" w:rightChars="0" w:firstLine="546" w:firstLineChars="200"/>
        <w:jc w:val="left"/>
        <w:rPr>
          <w:rFonts w:hint="eastAsia" w:ascii="仿宋_GB2312" w:hAnsi="仿宋_GB2312" w:eastAsia="仿宋_GB2312" w:cs="仿宋_GB2312"/>
          <w:color w:val="auto"/>
          <w:sz w:val="28"/>
          <w:szCs w:val="28"/>
        </w:rPr>
      </w:pPr>
      <w:r>
        <w:rPr>
          <w:rFonts w:hint="eastAsia" w:ascii="楷体" w:hAnsi="楷体" w:eastAsia="楷体" w:cs="楷体"/>
          <w:b/>
          <w:bCs/>
          <w:color w:val="auto"/>
          <w:spacing w:val="-4"/>
          <w:sz w:val="28"/>
          <w:szCs w:val="28"/>
          <w:highlight w:val="none"/>
        </w:rPr>
        <w:t>（四）组队责任</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1.各学校组织代表队时，须安排为参赛选手购买大赛期间的人身意外伤害保险。</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2.各学校代表队组成后，须制定相关管理制度，并对所有选手、指导教师进行安全教育。</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3.各参赛队伍须加强对参与比赛人员的安全管理，实现与赛场安全管理的对接。</w:t>
      </w:r>
    </w:p>
    <w:p>
      <w:pPr>
        <w:adjustRightInd w:val="0"/>
        <w:snapToGrid w:val="0"/>
        <w:spacing w:line="360" w:lineRule="auto"/>
        <w:ind w:right="0" w:rightChars="0" w:firstLine="546" w:firstLineChars="200"/>
        <w:jc w:val="left"/>
        <w:rPr>
          <w:rFonts w:hint="eastAsia" w:ascii="楷体" w:hAnsi="楷体" w:eastAsia="楷体" w:cs="楷体"/>
          <w:b/>
          <w:bCs/>
          <w:color w:val="auto"/>
          <w:spacing w:val="-4"/>
          <w:sz w:val="28"/>
          <w:szCs w:val="28"/>
          <w:highlight w:val="none"/>
        </w:rPr>
      </w:pPr>
      <w:r>
        <w:rPr>
          <w:rFonts w:hint="eastAsia" w:ascii="楷体" w:hAnsi="楷体" w:eastAsia="楷体" w:cs="楷体"/>
          <w:b/>
          <w:bCs/>
          <w:color w:val="auto"/>
          <w:spacing w:val="-4"/>
          <w:sz w:val="28"/>
          <w:szCs w:val="28"/>
          <w:highlight w:val="none"/>
        </w:rPr>
        <w:t>（五）应急处理</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pPr>
        <w:adjustRightInd w:val="0"/>
        <w:snapToGrid w:val="0"/>
        <w:spacing w:line="360" w:lineRule="auto"/>
        <w:ind w:right="0" w:rightChars="0" w:firstLine="546" w:firstLineChars="200"/>
        <w:jc w:val="left"/>
        <w:rPr>
          <w:rFonts w:hint="eastAsia" w:ascii="仿宋_GB2312" w:hAnsi="仿宋_GB2312" w:eastAsia="仿宋_GB2312" w:cs="仿宋_GB2312"/>
          <w:color w:val="auto"/>
          <w:sz w:val="28"/>
          <w:szCs w:val="28"/>
        </w:rPr>
      </w:pPr>
      <w:r>
        <w:rPr>
          <w:rFonts w:hint="eastAsia" w:ascii="楷体" w:hAnsi="楷体" w:eastAsia="楷体" w:cs="楷体"/>
          <w:b/>
          <w:bCs/>
          <w:color w:val="auto"/>
          <w:spacing w:val="-4"/>
          <w:sz w:val="28"/>
          <w:szCs w:val="28"/>
          <w:highlight w:val="none"/>
        </w:rPr>
        <w:t>（六）处罚措施</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1.因参赛队伍原因造成重大安全事故的，取消其获奖资格。</w:t>
      </w:r>
    </w:p>
    <w:p>
      <w:pPr>
        <w:adjustRightInd w:val="0"/>
        <w:snapToGrid w:val="0"/>
        <w:spacing w:line="360" w:lineRule="auto"/>
        <w:ind w:right="0" w:rightChars="0"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2.参赛队伍有发生重大安全事故隐患，经赛场工作人员提示、警告无效的，可取消其继续比赛的资格。</w:t>
      </w:r>
    </w:p>
    <w:p>
      <w:pPr>
        <w:pStyle w:val="8"/>
        <w:numPr>
          <w:ilvl w:val="0"/>
          <w:numId w:val="0"/>
        </w:numPr>
        <w:adjustRightInd w:val="0"/>
        <w:snapToGrid w:val="0"/>
        <w:spacing w:line="360" w:lineRule="auto"/>
        <w:ind w:right="0" w:rightChars="0" w:firstLine="560" w:firstLineChars="200"/>
        <w:rPr>
          <w:color w:val="auto"/>
          <w:sz w:val="28"/>
          <w:szCs w:val="28"/>
        </w:rPr>
      </w:pPr>
      <w:r>
        <w:rPr>
          <w:rFonts w:hint="eastAsia" w:ascii="仿宋_GB2312" w:hAnsi="仿宋_GB2312" w:eastAsia="仿宋_GB2312" w:cs="仿宋_GB2312"/>
          <w:color w:val="auto"/>
          <w:sz w:val="28"/>
          <w:szCs w:val="28"/>
        </w:rPr>
        <w:t>3.赛事工作人员违规的，按照相应的制度追究责任。情节恶劣并造成重大安全事故的，由司法机关追究相应法律责任。</w:t>
      </w:r>
    </w:p>
    <w:p>
      <w:pPr>
        <w:spacing w:before="156" w:beforeLines="50" w:after="156" w:afterLines="50"/>
        <w:ind w:firstLine="640" w:firstLineChars="200"/>
        <w:outlineLvl w:val="0"/>
        <w:rPr>
          <w:rFonts w:hint="eastAsia" w:ascii="黑体" w:eastAsia="黑体"/>
          <w:sz w:val="32"/>
          <w:szCs w:val="32"/>
        </w:rPr>
      </w:pPr>
      <w:r>
        <w:rPr>
          <w:rFonts w:hint="eastAsia" w:ascii="黑体" w:eastAsia="黑体"/>
          <w:sz w:val="32"/>
          <w:szCs w:val="32"/>
        </w:rPr>
        <w:t>十一、成绩评定</w:t>
      </w:r>
    </w:p>
    <w:p>
      <w:pPr>
        <w:pStyle w:val="4"/>
        <w:numPr>
          <w:ilvl w:val="1"/>
          <w:numId w:val="0"/>
        </w:numPr>
        <w:bidi w:val="0"/>
        <w:adjustRightInd w:val="0"/>
        <w:snapToGrid w:val="0"/>
        <w:spacing w:after="0" w:line="360" w:lineRule="auto"/>
        <w:ind w:leftChars="0" w:firstLine="546" w:firstLineChars="200"/>
        <w:rPr>
          <w:rFonts w:hint="eastAsia" w:ascii="楷体" w:hAnsi="楷体" w:eastAsia="楷体" w:cs="楷体"/>
          <w:bCs/>
          <w:color w:val="auto"/>
          <w:spacing w:val="-4"/>
          <w:sz w:val="28"/>
          <w:szCs w:val="28"/>
          <w:highlight w:val="none"/>
          <w:lang w:val="en-US" w:bidi="ar-SA"/>
        </w:rPr>
      </w:pPr>
      <w:bookmarkStart w:id="0" w:name="_Toc32375"/>
      <w:bookmarkStart w:id="1" w:name="_Toc22452"/>
      <w:bookmarkStart w:id="2" w:name="_Toc29616"/>
      <w:bookmarkStart w:id="3" w:name="_Toc15942"/>
      <w:bookmarkStart w:id="4" w:name="_Toc23227"/>
      <w:r>
        <w:rPr>
          <w:rFonts w:hint="eastAsia" w:ascii="楷体" w:hAnsi="楷体" w:eastAsia="楷体" w:cs="楷体"/>
          <w:bCs/>
          <w:color w:val="auto"/>
          <w:spacing w:val="-4"/>
          <w:sz w:val="28"/>
          <w:szCs w:val="28"/>
          <w:highlight w:val="none"/>
          <w:lang w:val="en-US" w:bidi="ar-SA"/>
        </w:rPr>
        <w:t>（一）评分原则</w:t>
      </w:r>
      <w:bookmarkEnd w:id="0"/>
      <w:bookmarkEnd w:id="1"/>
      <w:bookmarkEnd w:id="2"/>
      <w:bookmarkEnd w:id="3"/>
      <w:bookmarkEnd w:id="4"/>
    </w:p>
    <w:p>
      <w:pPr>
        <w:pStyle w:val="10"/>
        <w:keepNext w:val="0"/>
        <w:keepLines w:val="0"/>
        <w:numPr>
          <w:ilvl w:val="1"/>
          <w:numId w:val="0"/>
        </w:numPr>
        <w:autoSpaceDE w:val="0"/>
        <w:autoSpaceDN w:val="0"/>
        <w:bidi w:val="0"/>
        <w:adjustRightInd w:val="0"/>
        <w:snapToGrid w:val="0"/>
        <w:spacing w:before="0" w:after="0" w:line="360" w:lineRule="auto"/>
        <w:ind w:left="0" w:leftChars="0" w:firstLine="516" w:firstLineChars="200"/>
        <w:outlineLvl w:val="9"/>
        <w:rPr>
          <w:rFonts w:hint="eastAsia" w:ascii="楷体" w:hAnsi="楷体" w:eastAsia="楷体" w:cs="楷体"/>
          <w:bCs/>
          <w:spacing w:val="-4"/>
          <w:sz w:val="28"/>
          <w:szCs w:val="28"/>
          <w:highlight w:val="none"/>
          <w:lang w:val="en-US" w:bidi="ar-SA"/>
        </w:rPr>
      </w:pPr>
      <w:r>
        <w:rPr>
          <w:rFonts w:hint="eastAsia" w:ascii="仿宋_GB2312" w:hAnsi="仿宋_GB2312" w:eastAsia="仿宋_GB2312" w:cs="仿宋_GB2312"/>
          <w:color w:val="auto"/>
          <w:spacing w:val="-11"/>
          <w:sz w:val="28"/>
          <w:szCs w:val="28"/>
        </w:rPr>
        <w:t>应遵循“公开、公平、公正”的竞赛原则，科学、客观、</w:t>
      </w:r>
      <w:r>
        <w:rPr>
          <w:rFonts w:hint="eastAsia" w:ascii="仿宋_GB2312" w:hAnsi="仿宋_GB2312" w:eastAsia="仿宋_GB2312" w:cs="仿宋_GB2312"/>
          <w:color w:val="auto"/>
          <w:spacing w:val="-11"/>
          <w:sz w:val="28"/>
          <w:szCs w:val="28"/>
          <w:lang w:eastAsia="zh-CN"/>
        </w:rPr>
        <w:t>严谨地进行</w:t>
      </w:r>
      <w:r>
        <w:rPr>
          <w:rFonts w:hint="eastAsia" w:ascii="仿宋_GB2312" w:hAnsi="仿宋_GB2312" w:eastAsia="仿宋_GB2312" w:cs="仿宋_GB2312"/>
          <w:color w:val="auto"/>
          <w:spacing w:val="-6"/>
          <w:sz w:val="28"/>
          <w:szCs w:val="28"/>
        </w:rPr>
        <w:t>赛项评分。</w:t>
      </w:r>
      <w:bookmarkStart w:id="5" w:name="_Toc31567"/>
      <w:bookmarkStart w:id="6" w:name="_Toc27983"/>
      <w:bookmarkStart w:id="7" w:name="_Toc14806"/>
      <w:bookmarkStart w:id="8" w:name="_Toc13157"/>
      <w:bookmarkStart w:id="9" w:name="_Toc13056"/>
    </w:p>
    <w:p>
      <w:pPr>
        <w:pStyle w:val="10"/>
        <w:keepNext w:val="0"/>
        <w:keepLines w:val="0"/>
        <w:numPr>
          <w:ilvl w:val="1"/>
          <w:numId w:val="0"/>
        </w:numPr>
        <w:autoSpaceDE w:val="0"/>
        <w:autoSpaceDN w:val="0"/>
        <w:bidi w:val="0"/>
        <w:adjustRightInd w:val="0"/>
        <w:snapToGrid w:val="0"/>
        <w:spacing w:before="0" w:after="0" w:line="360" w:lineRule="auto"/>
        <w:ind w:left="0" w:leftChars="0" w:firstLine="546" w:firstLineChars="200"/>
        <w:outlineLvl w:val="9"/>
        <w:rPr>
          <w:rFonts w:hint="eastAsia" w:ascii="楷体" w:hAnsi="楷体" w:eastAsia="楷体" w:cs="楷体"/>
          <w:b/>
          <w:bCs w:val="0"/>
          <w:color w:val="auto"/>
          <w:spacing w:val="-4"/>
          <w:sz w:val="28"/>
          <w:szCs w:val="28"/>
          <w:highlight w:val="none"/>
          <w:lang w:val="en-US" w:bidi="ar-SA"/>
        </w:rPr>
      </w:pPr>
      <w:r>
        <w:rPr>
          <w:rFonts w:hint="eastAsia" w:ascii="楷体" w:hAnsi="楷体" w:eastAsia="楷体" w:cs="楷体"/>
          <w:b/>
          <w:bCs w:val="0"/>
          <w:color w:val="auto"/>
          <w:spacing w:val="-4"/>
          <w:sz w:val="28"/>
          <w:szCs w:val="28"/>
          <w:highlight w:val="none"/>
          <w:lang w:val="en-US" w:bidi="ar-SA"/>
        </w:rPr>
        <w:t>（二）评分方法</w:t>
      </w:r>
      <w:bookmarkEnd w:id="5"/>
      <w:bookmarkEnd w:id="6"/>
      <w:bookmarkEnd w:id="7"/>
      <w:bookmarkEnd w:id="8"/>
      <w:bookmarkEnd w:id="9"/>
    </w:p>
    <w:p>
      <w:pPr>
        <w:pStyle w:val="24"/>
        <w:keepNext w:val="0"/>
        <w:keepLines w:val="0"/>
        <w:pageBreakBefore w:val="0"/>
        <w:widowControl w:val="0"/>
        <w:numPr>
          <w:ilvl w:val="0"/>
          <w:numId w:val="0"/>
        </w:numPr>
        <w:tabs>
          <w:tab w:val="left" w:pos="1263"/>
        </w:tabs>
        <w:kinsoku/>
        <w:wordWrap/>
        <w:overflowPunct/>
        <w:topLinePunct w:val="0"/>
        <w:autoSpaceDE w:val="0"/>
        <w:autoSpaceDN w:val="0"/>
        <w:bidi w:val="0"/>
        <w:adjustRightInd w:val="0"/>
        <w:snapToGrid w:val="0"/>
        <w:spacing w:before="0" w:after="0" w:line="360" w:lineRule="auto"/>
        <w:ind w:leftChars="0" w:right="0" w:rightChars="0" w:firstLine="524"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
          <w:sz w:val="28"/>
          <w:szCs w:val="28"/>
          <w:lang w:val="en-US" w:eastAsia="zh-CN"/>
        </w:rPr>
        <w:t>1.</w:t>
      </w:r>
      <w:r>
        <w:rPr>
          <w:rFonts w:hint="eastAsia" w:ascii="仿宋_GB2312" w:hAnsi="仿宋_GB2312" w:eastAsia="仿宋_GB2312" w:cs="仿宋_GB2312"/>
          <w:color w:val="auto"/>
          <w:spacing w:val="-9"/>
          <w:sz w:val="28"/>
          <w:szCs w:val="28"/>
        </w:rPr>
        <w:t>“</w:t>
      </w:r>
      <w:r>
        <w:rPr>
          <w:rFonts w:hint="eastAsia" w:ascii="仿宋_GB2312" w:hAnsi="仿宋_GB2312" w:eastAsia="仿宋_GB2312" w:cs="仿宋_GB2312"/>
          <w:color w:val="auto"/>
          <w:sz w:val="28"/>
          <w:szCs w:val="28"/>
          <w:lang w:val="en-US" w:eastAsia="zh-CN"/>
        </w:rPr>
        <w:t>金融职业素养</w:t>
      </w:r>
      <w:r>
        <w:rPr>
          <w:rFonts w:hint="eastAsia" w:ascii="仿宋_GB2312" w:hAnsi="仿宋_GB2312" w:eastAsia="仿宋_GB2312" w:cs="仿宋_GB2312"/>
          <w:color w:val="auto"/>
          <w:spacing w:val="-9"/>
          <w:sz w:val="28"/>
          <w:szCs w:val="28"/>
        </w:rPr>
        <w:t>”竞赛成绩评定由</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9"/>
          <w:sz w:val="28"/>
          <w:szCs w:val="28"/>
          <w:lang w:val="en-US" w:eastAsia="zh-CN"/>
        </w:rPr>
        <w:t>智慧金融</w:t>
      </w:r>
      <w:r>
        <w:rPr>
          <w:rFonts w:hint="eastAsia" w:ascii="仿宋_GB2312" w:hAnsi="仿宋_GB2312" w:eastAsia="仿宋_GB2312" w:cs="仿宋_GB2312"/>
          <w:color w:val="auto"/>
          <w:spacing w:val="-9"/>
          <w:sz w:val="28"/>
          <w:szCs w:val="28"/>
        </w:rPr>
        <w:t>竞赛平台</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1"/>
          <w:sz w:val="28"/>
          <w:szCs w:val="28"/>
        </w:rPr>
        <w:t>自动评分</w:t>
      </w:r>
      <w:r>
        <w:rPr>
          <w:rFonts w:hint="eastAsia" w:ascii="仿宋_GB2312" w:hAnsi="仿宋_GB2312" w:eastAsia="仿宋_GB2312" w:cs="仿宋_GB2312"/>
          <w:color w:val="auto"/>
          <w:sz w:val="28"/>
          <w:szCs w:val="28"/>
        </w:rPr>
        <w:t>，其中手工点钞采用计算机系统自动评分</w:t>
      </w:r>
      <w:r>
        <w:rPr>
          <w:rFonts w:hint="eastAsia" w:ascii="仿宋_GB2312" w:hAnsi="仿宋_GB2312" w:eastAsia="仿宋_GB2312" w:cs="仿宋_GB2312"/>
          <w:color w:val="auto"/>
          <w:spacing w:val="-3"/>
          <w:sz w:val="28"/>
          <w:szCs w:val="28"/>
        </w:rPr>
        <w:t>与现场裁判评分相结合的评分办法，实行分面额计分制；</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28"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lang w:val="en-US" w:eastAsia="zh-CN"/>
        </w:rPr>
        <w:t>2.</w:t>
      </w:r>
      <w:r>
        <w:rPr>
          <w:rFonts w:hint="eastAsia" w:ascii="仿宋_GB2312" w:hAnsi="仿宋_GB2312" w:eastAsia="仿宋_GB2312" w:cs="仿宋_GB2312"/>
          <w:color w:val="auto"/>
          <w:spacing w:val="-8"/>
          <w:sz w:val="28"/>
          <w:szCs w:val="28"/>
        </w:rPr>
        <w:t>“</w:t>
      </w:r>
      <w:r>
        <w:rPr>
          <w:rFonts w:hint="eastAsia" w:ascii="仿宋_GB2312" w:hAnsi="仿宋_GB2312" w:eastAsia="仿宋_GB2312" w:cs="仿宋_GB2312"/>
          <w:color w:val="auto"/>
          <w:sz w:val="28"/>
          <w:szCs w:val="28"/>
          <w:lang w:val="en-US" w:eastAsia="zh-CN"/>
        </w:rPr>
        <w:t>金</w:t>
      </w:r>
      <w:r>
        <w:rPr>
          <w:rFonts w:hint="eastAsia" w:ascii="仿宋_GB2312" w:hAnsi="仿宋_GB2312" w:cs="仿宋_GB2312"/>
          <w:color w:val="auto"/>
          <w:sz w:val="28"/>
          <w:szCs w:val="28"/>
          <w:lang w:val="en-US" w:eastAsia="zh-CN"/>
        </w:rPr>
        <w:t>融综合技能</w:t>
      </w:r>
      <w:r>
        <w:rPr>
          <w:rFonts w:hint="eastAsia" w:ascii="仿宋_GB2312" w:hAnsi="仿宋_GB2312" w:eastAsia="仿宋_GB2312" w:cs="仿宋_GB2312"/>
          <w:color w:val="auto"/>
          <w:spacing w:val="-8"/>
          <w:sz w:val="28"/>
          <w:szCs w:val="28"/>
        </w:rPr>
        <w:t>”竞赛成绩评定由</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9"/>
          <w:sz w:val="28"/>
          <w:szCs w:val="28"/>
          <w:lang w:val="en-US" w:eastAsia="zh-CN"/>
        </w:rPr>
        <w:t>智慧金融</w:t>
      </w:r>
      <w:r>
        <w:rPr>
          <w:rFonts w:hint="eastAsia" w:ascii="仿宋_GB2312" w:hAnsi="仿宋_GB2312" w:eastAsia="仿宋_GB2312" w:cs="仿宋_GB2312"/>
          <w:color w:val="auto"/>
          <w:spacing w:val="-9"/>
          <w:sz w:val="28"/>
          <w:szCs w:val="28"/>
        </w:rPr>
        <w:t>竞赛平台</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1"/>
          <w:sz w:val="28"/>
          <w:szCs w:val="28"/>
        </w:rPr>
        <w:t>评分</w:t>
      </w:r>
      <w:r>
        <w:rPr>
          <w:rFonts w:hint="eastAsia" w:ascii="仿宋_GB2312" w:hAnsi="仿宋_GB2312" w:eastAsia="仿宋_GB2312" w:cs="仿宋_GB2312"/>
          <w:color w:val="auto"/>
          <w:sz w:val="28"/>
          <w:szCs w:val="28"/>
        </w:rPr>
        <w:t>；</w:t>
      </w:r>
    </w:p>
    <w:p>
      <w:pPr>
        <w:pStyle w:val="10"/>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left="0" w:leftChars="0" w:right="0" w:rightChars="0" w:firstLine="536" w:firstLineChars="200"/>
        <w:jc w:val="both"/>
        <w:textAlignment w:val="auto"/>
        <w:outlineLvl w:val="9"/>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lang w:val="en-US" w:eastAsia="zh-CN"/>
        </w:rPr>
        <w:t>3.</w:t>
      </w:r>
      <w:r>
        <w:rPr>
          <w:rFonts w:hint="eastAsia" w:ascii="仿宋_GB2312" w:hAnsi="仿宋_GB2312" w:eastAsia="仿宋_GB2312" w:cs="仿宋_GB2312"/>
          <w:color w:val="auto"/>
          <w:spacing w:val="-6"/>
          <w:sz w:val="28"/>
          <w:szCs w:val="28"/>
        </w:rPr>
        <w:t>“</w:t>
      </w:r>
      <w:r>
        <w:rPr>
          <w:rFonts w:hint="eastAsia" w:ascii="仿宋_GB2312" w:hAnsi="仿宋_GB2312" w:eastAsia="仿宋_GB2312" w:cs="仿宋_GB2312"/>
          <w:color w:val="auto"/>
          <w:spacing w:val="-6"/>
          <w:sz w:val="28"/>
          <w:szCs w:val="28"/>
          <w:lang w:val="en-US" w:eastAsia="zh-CN"/>
        </w:rPr>
        <w:t>数字金融业务</w:t>
      </w:r>
      <w:r>
        <w:rPr>
          <w:rFonts w:hint="eastAsia" w:ascii="仿宋_GB2312" w:hAnsi="仿宋_GB2312" w:eastAsia="仿宋_GB2312" w:cs="仿宋_GB2312"/>
          <w:color w:val="auto"/>
          <w:spacing w:val="-6"/>
          <w:sz w:val="28"/>
          <w:szCs w:val="28"/>
        </w:rPr>
        <w:t>”竞赛成绩评定</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lang w:val="en-US" w:eastAsia="zh-CN"/>
        </w:rPr>
        <w:t>智慧金融</w:t>
      </w:r>
      <w:r>
        <w:rPr>
          <w:rFonts w:hint="eastAsia" w:ascii="仿宋_GB2312" w:hAnsi="仿宋_GB2312" w:eastAsia="仿宋_GB2312" w:cs="仿宋_GB2312"/>
          <w:color w:val="auto"/>
          <w:spacing w:val="-6"/>
          <w:sz w:val="28"/>
          <w:szCs w:val="28"/>
        </w:rPr>
        <w:t>竞赛平台</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rPr>
        <w:t>自动评分；</w:t>
      </w:r>
    </w:p>
    <w:p>
      <w:pPr>
        <w:pStyle w:val="10"/>
        <w:keepNext w:val="0"/>
        <w:keepLines w:val="0"/>
        <w:numPr>
          <w:ilvl w:val="1"/>
          <w:numId w:val="0"/>
        </w:numPr>
        <w:autoSpaceDE w:val="0"/>
        <w:autoSpaceDN w:val="0"/>
        <w:bidi w:val="0"/>
        <w:adjustRightInd w:val="0"/>
        <w:snapToGrid w:val="0"/>
        <w:spacing w:before="0" w:after="0" w:line="360" w:lineRule="auto"/>
        <w:ind w:left="0" w:leftChars="0" w:firstLine="536" w:firstLineChars="200"/>
        <w:outlineLvl w:val="9"/>
        <w:rPr>
          <w:rFonts w:hint="eastAsia" w:ascii="仿宋_GB2312" w:hAnsi="仿宋_GB2312" w:eastAsia="仿宋_GB2312" w:cs="仿宋_GB2312"/>
          <w:b w:val="0"/>
          <w:bCs w:val="0"/>
          <w:color w:val="auto"/>
          <w:spacing w:val="-6"/>
          <w:sz w:val="28"/>
          <w:szCs w:val="28"/>
          <w:highlight w:val="none"/>
          <w:lang w:val="en-US" w:bidi="ar-SA"/>
        </w:rPr>
      </w:pPr>
      <w:r>
        <w:rPr>
          <w:rFonts w:hint="eastAsia" w:ascii="仿宋_GB2312" w:hAnsi="仿宋_GB2312" w:eastAsia="仿宋_GB2312" w:cs="仿宋_GB2312"/>
          <w:color w:val="auto"/>
          <w:spacing w:val="-6"/>
          <w:sz w:val="28"/>
          <w:szCs w:val="28"/>
          <w:lang w:val="en-US" w:eastAsia="zh-CN"/>
        </w:rPr>
        <w:t>4.</w:t>
      </w:r>
      <w:r>
        <w:rPr>
          <w:rFonts w:hint="eastAsia" w:ascii="仿宋_GB2312" w:hAnsi="仿宋_GB2312" w:eastAsia="仿宋_GB2312" w:cs="仿宋_GB2312"/>
          <w:color w:val="auto"/>
          <w:spacing w:val="-6"/>
          <w:sz w:val="28"/>
          <w:szCs w:val="28"/>
        </w:rPr>
        <w:t>团体总成绩由1、2、3项目竞赛得分相加构成。</w:t>
      </w:r>
      <w:bookmarkStart w:id="10" w:name="_Toc15308"/>
      <w:bookmarkStart w:id="11" w:name="_Toc9879"/>
      <w:bookmarkStart w:id="12" w:name="_Toc28786"/>
      <w:bookmarkStart w:id="13" w:name="_Toc32225"/>
      <w:bookmarkStart w:id="14" w:name="_Toc882"/>
    </w:p>
    <w:p>
      <w:pPr>
        <w:pStyle w:val="10"/>
        <w:keepNext w:val="0"/>
        <w:keepLines w:val="0"/>
        <w:numPr>
          <w:ilvl w:val="1"/>
          <w:numId w:val="0"/>
        </w:numPr>
        <w:autoSpaceDE w:val="0"/>
        <w:autoSpaceDN w:val="0"/>
        <w:bidi w:val="0"/>
        <w:adjustRightInd w:val="0"/>
        <w:snapToGrid w:val="0"/>
        <w:spacing w:before="0" w:after="0" w:line="360" w:lineRule="auto"/>
        <w:ind w:left="0" w:leftChars="0" w:firstLine="538" w:firstLineChars="200"/>
        <w:outlineLvl w:val="9"/>
        <w:rPr>
          <w:rFonts w:hint="eastAsia" w:ascii="楷体" w:hAnsi="楷体" w:eastAsia="楷体" w:cs="楷体"/>
          <w:b/>
          <w:bCs/>
          <w:color w:val="auto"/>
          <w:spacing w:val="-6"/>
          <w:sz w:val="28"/>
          <w:szCs w:val="28"/>
          <w:highlight w:val="none"/>
          <w:lang w:val="en-US" w:bidi="ar-SA"/>
        </w:rPr>
      </w:pPr>
      <w:r>
        <w:rPr>
          <w:rFonts w:hint="eastAsia" w:ascii="楷体" w:hAnsi="楷体" w:eastAsia="楷体" w:cs="楷体"/>
          <w:b/>
          <w:bCs/>
          <w:color w:val="auto"/>
          <w:spacing w:val="-6"/>
          <w:sz w:val="28"/>
          <w:szCs w:val="28"/>
          <w:lang w:val="en-US" w:eastAsia="zh-CN" w:bidi="ar-SA"/>
        </w:rPr>
        <w:t>（三）</w:t>
      </w:r>
      <w:r>
        <w:rPr>
          <w:rFonts w:hint="eastAsia" w:ascii="楷体" w:hAnsi="楷体" w:eastAsia="楷体" w:cs="楷体"/>
          <w:b/>
          <w:bCs/>
          <w:color w:val="auto"/>
          <w:spacing w:val="-6"/>
          <w:sz w:val="28"/>
          <w:szCs w:val="28"/>
          <w:lang w:val="en-US" w:bidi="ar-SA"/>
        </w:rPr>
        <w:t>评分细节</w:t>
      </w:r>
      <w:bookmarkEnd w:id="10"/>
      <w:bookmarkEnd w:id="11"/>
      <w:bookmarkEnd w:id="12"/>
      <w:bookmarkEnd w:id="13"/>
      <w:bookmarkEnd w:id="14"/>
    </w:p>
    <w:p>
      <w:pPr>
        <w:pStyle w:val="10"/>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left="0" w:right="0" w:rightChars="0" w:firstLine="456" w:firstLineChars="200"/>
        <w:jc w:val="both"/>
        <w:textAlignment w:val="auto"/>
        <w:outlineLvl w:val="9"/>
        <w:rPr>
          <w:rFonts w:hint="eastAsia" w:ascii="仿宋_GB2312" w:hAnsi="仿宋_GB2312" w:eastAsia="仿宋_GB2312" w:cs="仿宋_GB2312"/>
          <w:color w:val="auto"/>
          <w:spacing w:val="-6"/>
          <w:sz w:val="24"/>
          <w:szCs w:val="24"/>
          <w:lang w:val="en-US" w:bidi="ar-SA"/>
        </w:rPr>
      </w:pPr>
      <w:r>
        <w:rPr>
          <w:rFonts w:hint="default" w:ascii="仿宋_GB2312" w:hAnsi="仿宋_GB2312" w:eastAsia="仿宋_GB2312" w:cs="仿宋_GB2312"/>
          <w:b w:val="0"/>
          <w:bCs w:val="0"/>
          <w:color w:val="auto"/>
          <w:spacing w:val="-6"/>
          <w:sz w:val="24"/>
          <w:szCs w:val="24"/>
          <w:lang w:val="en-US" w:eastAsia="zh-CN" w:bidi="ar-SA"/>
        </w:rPr>
        <w:t>1.“金融职业素养”模块</w:t>
      </w:r>
      <w:r>
        <w:rPr>
          <w:rFonts w:hint="default" w:ascii="仿宋_GB2312" w:hAnsi="仿宋_GB2312" w:eastAsia="仿宋_GB2312" w:cs="仿宋_GB2312"/>
          <w:color w:val="auto"/>
          <w:spacing w:val="-6"/>
          <w:sz w:val="24"/>
          <w:szCs w:val="24"/>
          <w:lang w:val="en-US" w:bidi="ar-SA"/>
        </w:rPr>
        <w:t>（共</w:t>
      </w:r>
      <w:r>
        <w:rPr>
          <w:rFonts w:hint="default" w:ascii="仿宋_GB2312" w:hAnsi="仿宋_GB2312" w:eastAsia="仿宋_GB2312" w:cs="仿宋_GB2312"/>
          <w:color w:val="auto"/>
          <w:spacing w:val="-6"/>
          <w:sz w:val="24"/>
          <w:szCs w:val="24"/>
          <w:lang w:val="en-US" w:eastAsia="zh-CN" w:bidi="ar-SA"/>
        </w:rPr>
        <w:t>12</w:t>
      </w:r>
      <w:r>
        <w:rPr>
          <w:rFonts w:hint="default" w:ascii="仿宋_GB2312" w:hAnsi="仿宋_GB2312" w:eastAsia="仿宋_GB2312" w:cs="仿宋_GB2312"/>
          <w:color w:val="auto"/>
          <w:spacing w:val="-6"/>
          <w:sz w:val="24"/>
          <w:szCs w:val="24"/>
          <w:lang w:val="en-US" w:bidi="ar-SA"/>
        </w:rPr>
        <w:t>00分。每人</w:t>
      </w:r>
      <w:r>
        <w:rPr>
          <w:rFonts w:hint="default" w:ascii="仿宋_GB2312" w:hAnsi="仿宋_GB2312" w:eastAsia="仿宋_GB2312" w:cs="仿宋_GB2312"/>
          <w:color w:val="auto"/>
          <w:spacing w:val="-6"/>
          <w:sz w:val="24"/>
          <w:szCs w:val="24"/>
          <w:lang w:val="en-US" w:eastAsia="zh-CN" w:bidi="ar-SA"/>
        </w:rPr>
        <w:t>3</w:t>
      </w:r>
      <w:r>
        <w:rPr>
          <w:rFonts w:hint="default" w:ascii="仿宋_GB2312" w:hAnsi="仿宋_GB2312" w:eastAsia="仿宋_GB2312" w:cs="仿宋_GB2312"/>
          <w:color w:val="auto"/>
          <w:spacing w:val="-6"/>
          <w:sz w:val="24"/>
          <w:szCs w:val="24"/>
          <w:lang w:val="en-US" w:bidi="ar-SA"/>
        </w:rPr>
        <w:t>00分。）</w:t>
      </w:r>
    </w:p>
    <w:tbl>
      <w:tblPr>
        <w:tblStyle w:val="16"/>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5"/>
        <w:gridCol w:w="4237"/>
        <w:gridCol w:w="1463"/>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475"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项目</w:t>
            </w: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评分细则</w:t>
            </w:r>
          </w:p>
        </w:tc>
        <w:tc>
          <w:tcPr>
            <w:tcW w:w="1463"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rPr>
              <w:t>分值</w:t>
            </w:r>
          </w:p>
        </w:tc>
        <w:tc>
          <w:tcPr>
            <w:tcW w:w="1325"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评分方法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1475" w:type="dxa"/>
            <w:vMerge w:val="restart"/>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业务素养</w:t>
            </w: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经济金融理论基础知识、银行业务知识、金融科技理论知识80%</w:t>
            </w:r>
          </w:p>
        </w:tc>
        <w:tc>
          <w:tcPr>
            <w:tcW w:w="1463" w:type="dxa"/>
            <w:vMerge w:val="restart"/>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w:t>
            </w:r>
            <w:r>
              <w:rPr>
                <w:rFonts w:hint="eastAsia" w:ascii="仿宋_GB2312" w:hAnsi="仿宋_GB2312" w:eastAsia="仿宋_GB2312" w:cs="仿宋_GB2312"/>
                <w:b w:val="0"/>
                <w:bCs/>
                <w:color w:val="auto"/>
                <w:sz w:val="24"/>
                <w:szCs w:val="24"/>
              </w:rPr>
              <w:t>00分</w:t>
            </w: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lang w:eastAsia="zh-CN"/>
              </w:rPr>
            </w:pP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lang w:val="en-US" w:eastAsia="zh-CN"/>
              </w:rPr>
              <w:t>每人100分</w:t>
            </w:r>
            <w:r>
              <w:rPr>
                <w:rFonts w:hint="eastAsia" w:ascii="仿宋_GB2312" w:hAnsi="仿宋_GB2312" w:eastAsia="仿宋_GB2312" w:cs="仿宋_GB2312"/>
                <w:b w:val="0"/>
                <w:bCs/>
                <w:color w:val="auto"/>
                <w:sz w:val="24"/>
                <w:szCs w:val="24"/>
                <w:lang w:eastAsia="zh-CN"/>
              </w:rPr>
              <w:t>）</w:t>
            </w:r>
          </w:p>
        </w:tc>
        <w:tc>
          <w:tcPr>
            <w:tcW w:w="1325" w:type="dxa"/>
            <w:vMerge w:val="restart"/>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475"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金融业务法律基础10%</w:t>
            </w:r>
          </w:p>
        </w:tc>
        <w:tc>
          <w:tcPr>
            <w:tcW w:w="146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p>
        </w:tc>
        <w:tc>
          <w:tcPr>
            <w:tcW w:w="1325"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475"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金融从业人员职业行为10%</w:t>
            </w:r>
          </w:p>
        </w:tc>
        <w:tc>
          <w:tcPr>
            <w:tcW w:w="146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p>
        </w:tc>
        <w:tc>
          <w:tcPr>
            <w:tcW w:w="1325"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jc w:val="center"/>
        </w:trPr>
        <w:tc>
          <w:tcPr>
            <w:tcW w:w="147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传票算</w:t>
            </w: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105" w:rightChars="5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本项目采用计算机系统自动评分，按正确答案数记分；按计算机事先设置的采分点，每提交一个正确数字可得2.5分，提交不正确的不得分。根据实际工作中的情况，比赛现场提供电脑Excel表格和计算器两种计算工具供选手自行选用</w:t>
            </w:r>
          </w:p>
        </w:tc>
        <w:tc>
          <w:tcPr>
            <w:tcW w:w="1463"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20</w:t>
            </w:r>
            <w:r>
              <w:rPr>
                <w:rFonts w:hint="eastAsia" w:ascii="仿宋_GB2312" w:hAnsi="仿宋_GB2312" w:eastAsia="仿宋_GB2312" w:cs="仿宋_GB2312"/>
                <w:b w:val="0"/>
                <w:bCs/>
                <w:color w:val="auto"/>
                <w:sz w:val="24"/>
                <w:szCs w:val="24"/>
              </w:rPr>
              <w:t>0分</w:t>
            </w: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lang w:val="en-US" w:eastAsia="zh-CN"/>
              </w:rPr>
              <w:t>每人50分</w:t>
            </w:r>
            <w:r>
              <w:rPr>
                <w:rFonts w:hint="eastAsia" w:ascii="仿宋_GB2312" w:hAnsi="仿宋_GB2312" w:eastAsia="仿宋_GB2312" w:cs="仿宋_GB2312"/>
                <w:b w:val="0"/>
                <w:bCs/>
                <w:color w:val="auto"/>
                <w:sz w:val="24"/>
                <w:szCs w:val="24"/>
                <w:lang w:eastAsia="zh-CN"/>
              </w:rPr>
              <w:t>）</w:t>
            </w:r>
          </w:p>
        </w:tc>
        <w:tc>
          <w:tcPr>
            <w:tcW w:w="132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47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字符录入</w:t>
            </w: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105" w:rightChars="5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本项目采用计算机系统自动评分办法；选手提交后，按计算机事先设置的采分点，一个正确字符得0.03125分，一个错误字符按该字符分值的3倍扣分（本项目最低为零分</w:t>
            </w: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rPr>
              <w:t>不出现负分）。比赛现场电脑预装极品五笔、搜狗拼音、搜狗五笔、微软全拼、万能五笔等输入法，竞赛电脑系统中未预装的输入法不得采用</w:t>
            </w:r>
          </w:p>
        </w:tc>
        <w:tc>
          <w:tcPr>
            <w:tcW w:w="1463"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200分</w:t>
            </w: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lang w:val="en-US" w:eastAsia="zh-CN"/>
              </w:rPr>
              <w:t>每人50分</w:t>
            </w:r>
            <w:r>
              <w:rPr>
                <w:rFonts w:hint="eastAsia" w:ascii="仿宋_GB2312" w:hAnsi="仿宋_GB2312" w:eastAsia="仿宋_GB2312" w:cs="仿宋_GB2312"/>
                <w:b w:val="0"/>
                <w:bCs/>
                <w:color w:val="auto"/>
                <w:sz w:val="24"/>
                <w:szCs w:val="24"/>
                <w:lang w:eastAsia="zh-CN"/>
              </w:rPr>
              <w:t>）</w:t>
            </w:r>
          </w:p>
        </w:tc>
        <w:tc>
          <w:tcPr>
            <w:tcW w:w="132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47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手工点钞</w:t>
            </w: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105" w:rightChars="5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本项目采用计算机系统自动评分</w:t>
            </w:r>
            <w:r>
              <w:rPr>
                <w:rFonts w:hint="eastAsia" w:ascii="仿宋_GB2312" w:hAnsi="仿宋_GB2312" w:eastAsia="仿宋_GB2312" w:cs="仿宋_GB2312"/>
                <w:b w:val="0"/>
                <w:bCs/>
                <w:color w:val="auto"/>
                <w:sz w:val="24"/>
                <w:szCs w:val="24"/>
                <w:lang w:eastAsia="zh-CN"/>
              </w:rPr>
              <w:t>与现场裁判评分相结合的</w:t>
            </w:r>
            <w:r>
              <w:rPr>
                <w:rFonts w:hint="eastAsia" w:ascii="仿宋_GB2312" w:hAnsi="仿宋_GB2312" w:eastAsia="仿宋_GB2312" w:cs="仿宋_GB2312"/>
                <w:b w:val="0"/>
                <w:bCs/>
                <w:color w:val="auto"/>
                <w:sz w:val="24"/>
                <w:szCs w:val="24"/>
              </w:rPr>
              <w:t>办法。按计算机事先设置的采分点评分，共8种面额钞票，选手清点完并对钞票进行扎把</w:t>
            </w: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rPr>
              <w:t>盖章操作</w:t>
            </w:r>
            <w:r>
              <w:rPr>
                <w:rFonts w:hint="eastAsia" w:ascii="仿宋_GB2312" w:hAnsi="仿宋_GB2312" w:eastAsia="仿宋_GB2312" w:cs="仿宋_GB2312"/>
                <w:b w:val="0"/>
                <w:bCs/>
                <w:color w:val="auto"/>
                <w:sz w:val="24"/>
                <w:szCs w:val="24"/>
                <w:lang w:eastAsia="zh-CN"/>
              </w:rPr>
              <w:t>后，分</w:t>
            </w:r>
            <w:r>
              <w:rPr>
                <w:rFonts w:hint="eastAsia" w:ascii="仿宋_GB2312" w:hAnsi="仿宋_GB2312" w:eastAsia="仿宋_GB2312" w:cs="仿宋_GB2312"/>
                <w:b w:val="0"/>
                <w:bCs/>
                <w:color w:val="auto"/>
                <w:sz w:val="24"/>
                <w:szCs w:val="24"/>
              </w:rPr>
              <w:t>面额</w:t>
            </w:r>
            <w:r>
              <w:rPr>
                <w:rFonts w:hint="eastAsia" w:ascii="仿宋_GB2312" w:hAnsi="仿宋_GB2312" w:eastAsia="仿宋_GB2312" w:cs="仿宋_GB2312"/>
                <w:b w:val="0"/>
                <w:bCs/>
                <w:color w:val="auto"/>
                <w:sz w:val="24"/>
                <w:szCs w:val="24"/>
                <w:lang w:eastAsia="zh-CN"/>
              </w:rPr>
              <w:t>将</w:t>
            </w:r>
            <w:r>
              <w:rPr>
                <w:rFonts w:hint="eastAsia" w:ascii="仿宋_GB2312" w:hAnsi="仿宋_GB2312" w:eastAsia="仿宋_GB2312" w:cs="仿宋_GB2312"/>
                <w:b w:val="0"/>
                <w:bCs/>
                <w:color w:val="auto"/>
                <w:sz w:val="24"/>
                <w:szCs w:val="24"/>
              </w:rPr>
              <w:t>钞票数量和金额录入到竞赛平台系统中。每种钞票录入数量正确得5分，金额正确得1.25分。选手清点完毕，必须将全部钞票整齐放入筐中，以便裁判人员复核</w:t>
            </w:r>
            <w:r>
              <w:rPr>
                <w:rFonts w:hint="eastAsia" w:ascii="仿宋_GB2312" w:hAnsi="仿宋_GB2312" w:eastAsia="仿宋_GB2312" w:cs="仿宋_GB2312"/>
                <w:b w:val="0"/>
                <w:bCs/>
                <w:color w:val="auto"/>
                <w:sz w:val="24"/>
                <w:szCs w:val="24"/>
                <w:lang w:eastAsia="zh-CN"/>
              </w:rPr>
              <w:t>，未入筐的钞票对应面值不得分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仿宋_GB2312" w:hAnsi="仿宋_GB2312" w:eastAsia="仿宋_GB2312" w:cs="仿宋_GB2312"/>
                <w:b w:val="0"/>
                <w:bCs/>
                <w:color w:val="auto"/>
                <w:sz w:val="24"/>
                <w:szCs w:val="24"/>
                <w:lang w:val="zh-CN" w:eastAsia="zh-CN" w:bidi="zh-CN"/>
              </w:rPr>
            </w:pPr>
            <w:r>
              <w:rPr>
                <w:rFonts w:hint="eastAsia" w:ascii="仿宋_GB2312" w:hAnsi="仿宋_GB2312" w:eastAsia="仿宋_GB2312" w:cs="仿宋_GB2312"/>
                <w:b w:val="0"/>
                <w:bCs/>
                <w:color w:val="auto"/>
                <w:sz w:val="24"/>
                <w:szCs w:val="24"/>
                <w:lang w:val="zh-CN" w:eastAsia="zh-CN" w:bidi="zh-CN"/>
              </w:rPr>
              <w:t>现场裁判评分：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zh-CN" w:eastAsia="zh-CN" w:bidi="zh-CN"/>
              </w:rPr>
              <w:t>①按面值扣分，每种面值最低为零分，不出现负分；②录入和提交但未完成捆扎的该面值不得分；③已捆扎的点钞专用券质量不合格的每捆扣1分，每种面值最多扣</w:t>
            </w:r>
            <w:r>
              <w:rPr>
                <w:rFonts w:hint="eastAsia" w:ascii="仿宋_GB2312" w:hAnsi="仿宋_GB2312" w:eastAsia="仿宋_GB2312" w:cs="仿宋_GB2312"/>
                <w:b w:val="0"/>
                <w:bCs/>
                <w:color w:val="auto"/>
                <w:sz w:val="24"/>
                <w:szCs w:val="24"/>
                <w:lang w:val="en-US" w:eastAsia="zh-CN" w:bidi="zh-CN"/>
              </w:rPr>
              <w:t>3</w:t>
            </w:r>
            <w:r>
              <w:rPr>
                <w:rFonts w:hint="eastAsia" w:ascii="仿宋_GB2312" w:hAnsi="仿宋_GB2312" w:eastAsia="仿宋_GB2312" w:cs="仿宋_GB2312"/>
                <w:b w:val="0"/>
                <w:bCs/>
                <w:color w:val="auto"/>
                <w:sz w:val="24"/>
                <w:szCs w:val="24"/>
                <w:lang w:val="zh-CN" w:eastAsia="zh-CN" w:bidi="zh-CN"/>
              </w:rPr>
              <w:t>分；④没有盖章或盖章不清楚的每把扣0.5分，每种面值最多扣</w:t>
            </w:r>
            <w:r>
              <w:rPr>
                <w:rFonts w:hint="eastAsia" w:ascii="仿宋_GB2312" w:hAnsi="仿宋_GB2312" w:eastAsia="仿宋_GB2312" w:cs="仿宋_GB2312"/>
                <w:b w:val="0"/>
                <w:bCs/>
                <w:color w:val="auto"/>
                <w:sz w:val="24"/>
                <w:szCs w:val="24"/>
                <w:lang w:val="en-US" w:eastAsia="zh-CN" w:bidi="zh-CN"/>
              </w:rPr>
              <w:t>1.</w:t>
            </w:r>
            <w:r>
              <w:rPr>
                <w:rFonts w:hint="eastAsia" w:ascii="仿宋_GB2312" w:hAnsi="仿宋_GB2312" w:eastAsia="仿宋_GB2312" w:cs="仿宋_GB2312"/>
                <w:b w:val="0"/>
                <w:bCs/>
                <w:color w:val="auto"/>
                <w:sz w:val="24"/>
                <w:szCs w:val="24"/>
                <w:lang w:val="zh-CN" w:eastAsia="zh-CN" w:bidi="zh-CN"/>
              </w:rPr>
              <w:t>5分；现场裁判评分结束后，当场评定并填写“点钞扣分记录表”交裁判组汇总</w:t>
            </w:r>
          </w:p>
        </w:tc>
        <w:tc>
          <w:tcPr>
            <w:tcW w:w="1463"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20</w:t>
            </w:r>
            <w:r>
              <w:rPr>
                <w:rFonts w:hint="eastAsia" w:ascii="仿宋_GB2312" w:hAnsi="仿宋_GB2312" w:eastAsia="仿宋_GB2312" w:cs="仿宋_GB2312"/>
                <w:b w:val="0"/>
                <w:bCs/>
                <w:color w:val="auto"/>
                <w:sz w:val="24"/>
                <w:szCs w:val="24"/>
              </w:rPr>
              <w:t>0分</w:t>
            </w: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lang w:val="en-US" w:eastAsia="zh-CN"/>
              </w:rPr>
              <w:t>每人50分</w:t>
            </w:r>
            <w:r>
              <w:rPr>
                <w:rFonts w:hint="eastAsia" w:ascii="仿宋_GB2312" w:hAnsi="仿宋_GB2312" w:eastAsia="仿宋_GB2312" w:cs="仿宋_GB2312"/>
                <w:b w:val="0"/>
                <w:bCs/>
                <w:color w:val="auto"/>
                <w:sz w:val="24"/>
                <w:szCs w:val="24"/>
                <w:lang w:eastAsia="zh-CN"/>
              </w:rPr>
              <w:t>）</w:t>
            </w: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2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系统自动评分与现场裁判评分相结合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147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货币防伪与鉴别</w:t>
            </w:r>
          </w:p>
        </w:tc>
        <w:tc>
          <w:tcPr>
            <w:tcW w:w="4237"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105" w:rightChars="50" w:firstLine="0" w:firstLineChars="0"/>
              <w:jc w:val="left"/>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本项目</w:t>
            </w:r>
            <w:r>
              <w:rPr>
                <w:rFonts w:hint="eastAsia" w:ascii="仿宋_GB2312" w:hAnsi="仿宋_GB2312" w:eastAsia="仿宋_GB2312" w:cs="仿宋_GB2312"/>
                <w:b w:val="0"/>
                <w:bCs/>
                <w:color w:val="auto"/>
                <w:sz w:val="24"/>
                <w:szCs w:val="24"/>
              </w:rPr>
              <w:t>分单选题（15分）、多选题（15分）、判断题（10分）、实务题（10分）四种题型，根据难度系数不同由系统自动设置采分点和对应的分值</w:t>
            </w:r>
          </w:p>
        </w:tc>
        <w:tc>
          <w:tcPr>
            <w:tcW w:w="1463"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20</w:t>
            </w:r>
            <w:r>
              <w:rPr>
                <w:rFonts w:hint="eastAsia" w:ascii="仿宋_GB2312" w:hAnsi="仿宋_GB2312" w:eastAsia="仿宋_GB2312" w:cs="仿宋_GB2312"/>
                <w:b w:val="0"/>
                <w:bCs/>
                <w:color w:val="auto"/>
                <w:sz w:val="24"/>
                <w:szCs w:val="24"/>
              </w:rPr>
              <w:t>0分</w:t>
            </w: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lang w:val="en-US" w:eastAsia="zh-CN"/>
              </w:rPr>
              <w:t>每人50分</w:t>
            </w:r>
            <w:r>
              <w:rPr>
                <w:rFonts w:hint="eastAsia" w:ascii="仿宋_GB2312" w:hAnsi="仿宋_GB2312" w:eastAsia="仿宋_GB2312" w:cs="仿宋_GB2312"/>
                <w:b w:val="0"/>
                <w:bCs/>
                <w:color w:val="auto"/>
                <w:sz w:val="24"/>
                <w:szCs w:val="24"/>
                <w:lang w:eastAsia="zh-CN"/>
              </w:rPr>
              <w:t>）</w:t>
            </w:r>
          </w:p>
        </w:tc>
        <w:tc>
          <w:tcPr>
            <w:tcW w:w="1325" w:type="dxa"/>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bl>
    <w:p>
      <w:pPr>
        <w:pStyle w:val="24"/>
        <w:keepNext w:val="0"/>
        <w:keepLines w:val="0"/>
        <w:pageBreakBefore w:val="0"/>
        <w:widowControl w:val="0"/>
        <w:numPr>
          <w:ilvl w:val="0"/>
          <w:numId w:val="0"/>
        </w:numPr>
        <w:tabs>
          <w:tab w:val="left" w:pos="704"/>
        </w:tabs>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仿宋_GB2312" w:hAnsi="仿宋_GB2312" w:eastAsia="仿宋_GB2312" w:cs="仿宋_GB2312"/>
          <w:b/>
          <w:bCs/>
          <w:color w:val="auto"/>
          <w:sz w:val="28"/>
          <w:szCs w:val="28"/>
          <w:lang w:val="en-US" w:bidi="ar-SA"/>
        </w:rPr>
      </w:pPr>
      <w:r>
        <w:rPr>
          <w:rFonts w:hint="default" w:ascii="仿宋_GB2312" w:hAnsi="仿宋_GB2312" w:eastAsia="仿宋_GB2312" w:cs="仿宋_GB2312"/>
          <w:b/>
          <w:bCs/>
          <w:color w:val="auto"/>
          <w:sz w:val="28"/>
          <w:szCs w:val="28"/>
          <w:lang w:val="en-US" w:eastAsia="zh-CN" w:bidi="ar-SA"/>
        </w:rPr>
        <w:t>2.“金融综合技能”模块</w:t>
      </w:r>
      <w:r>
        <w:rPr>
          <w:rFonts w:hint="default" w:ascii="仿宋_GB2312" w:hAnsi="仿宋_GB2312" w:eastAsia="仿宋_GB2312" w:cs="仿宋_GB2312"/>
          <w:b/>
          <w:bCs/>
          <w:color w:val="auto"/>
          <w:sz w:val="28"/>
          <w:szCs w:val="28"/>
          <w:lang w:val="en-US" w:bidi="ar-SA"/>
        </w:rPr>
        <w:t>（</w:t>
      </w:r>
      <w:r>
        <w:rPr>
          <w:rFonts w:hint="default" w:ascii="仿宋_GB2312" w:hAnsi="仿宋_GB2312" w:eastAsia="仿宋_GB2312" w:cs="仿宋_GB2312"/>
          <w:b/>
          <w:bCs/>
          <w:color w:val="auto"/>
          <w:spacing w:val="0"/>
          <w:sz w:val="28"/>
          <w:szCs w:val="28"/>
          <w:lang w:val="en-US" w:bidi="ar-SA"/>
        </w:rPr>
        <w:t>共</w:t>
      </w:r>
      <w:r>
        <w:rPr>
          <w:rFonts w:hint="default" w:ascii="仿宋_GB2312" w:hAnsi="仿宋_GB2312" w:eastAsia="仿宋_GB2312" w:cs="仿宋_GB2312"/>
          <w:b/>
          <w:bCs/>
          <w:color w:val="auto"/>
          <w:sz w:val="28"/>
          <w:szCs w:val="28"/>
          <w:lang w:val="en-US" w:bidi="ar-SA"/>
        </w:rPr>
        <w:t>800</w:t>
      </w:r>
      <w:r>
        <w:rPr>
          <w:rFonts w:hint="default" w:ascii="仿宋_GB2312" w:hAnsi="仿宋_GB2312" w:eastAsia="仿宋_GB2312" w:cs="仿宋_GB2312"/>
          <w:b/>
          <w:bCs/>
          <w:color w:val="auto"/>
          <w:spacing w:val="0"/>
          <w:sz w:val="28"/>
          <w:szCs w:val="28"/>
          <w:lang w:val="en-US" w:bidi="ar-SA"/>
        </w:rPr>
        <w:t>分。每个岗位</w:t>
      </w:r>
      <w:r>
        <w:rPr>
          <w:rFonts w:hint="default" w:ascii="仿宋_GB2312" w:hAnsi="仿宋_GB2312" w:eastAsia="仿宋_GB2312" w:cs="仿宋_GB2312"/>
          <w:b/>
          <w:bCs/>
          <w:color w:val="auto"/>
          <w:sz w:val="28"/>
          <w:szCs w:val="28"/>
          <w:lang w:val="en-US" w:bidi="ar-SA"/>
        </w:rPr>
        <w:t>200</w:t>
      </w:r>
      <w:r>
        <w:rPr>
          <w:rFonts w:hint="default" w:ascii="仿宋_GB2312" w:hAnsi="仿宋_GB2312" w:eastAsia="仿宋_GB2312" w:cs="仿宋_GB2312"/>
          <w:b/>
          <w:bCs/>
          <w:color w:val="auto"/>
          <w:spacing w:val="0"/>
          <w:sz w:val="28"/>
          <w:szCs w:val="28"/>
          <w:lang w:val="en-US" w:bidi="ar-SA"/>
        </w:rPr>
        <w:t>分。</w:t>
      </w:r>
      <w:r>
        <w:rPr>
          <w:rFonts w:hint="default" w:ascii="仿宋_GB2312" w:hAnsi="仿宋_GB2312" w:eastAsia="仿宋_GB2312" w:cs="仿宋_GB2312"/>
          <w:b/>
          <w:bCs/>
          <w:color w:val="auto"/>
          <w:sz w:val="28"/>
          <w:szCs w:val="28"/>
          <w:lang w:val="en-US" w:bidi="ar-SA"/>
        </w:rPr>
        <w:t>）</w:t>
      </w:r>
    </w:p>
    <w:tbl>
      <w:tblPr>
        <w:tblStyle w:val="16"/>
        <w:tblW w:w="85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9"/>
        <w:gridCol w:w="2620"/>
        <w:gridCol w:w="1614"/>
        <w:gridCol w:w="1443"/>
        <w:gridCol w:w="13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1499"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竞赛任务</w:t>
            </w: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评分细节</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单项分值</w:t>
            </w:r>
          </w:p>
        </w:tc>
        <w:tc>
          <w:tcPr>
            <w:tcW w:w="1443"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rPr>
              <w:t>总分</w:t>
            </w:r>
          </w:p>
        </w:tc>
        <w:tc>
          <w:tcPr>
            <w:tcW w:w="1371"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lang w:val="en-US" w:eastAsia="zh-CN"/>
              </w:rPr>
            </w:pPr>
            <w:r>
              <w:rPr>
                <w:rFonts w:hint="eastAsia" w:ascii="仿宋_GB2312" w:hAnsi="仿宋_GB2312" w:eastAsia="仿宋_GB2312" w:cs="仿宋_GB2312"/>
                <w:b/>
                <w:bCs w:val="0"/>
                <w:color w:val="auto"/>
                <w:sz w:val="24"/>
                <w:szCs w:val="24"/>
              </w:rPr>
              <w:t>评分方</w:t>
            </w:r>
            <w:r>
              <w:rPr>
                <w:rFonts w:hint="eastAsia" w:ascii="仿宋_GB2312" w:hAnsi="仿宋_GB2312" w:eastAsia="仿宋_GB2312" w:cs="仿宋_GB2312"/>
                <w:b/>
                <w:bCs w:val="0"/>
                <w:color w:val="auto"/>
                <w:sz w:val="24"/>
                <w:szCs w:val="24"/>
                <w:lang w:val="en-US" w:eastAsia="zh-CN"/>
              </w:rPr>
              <w:t>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大堂经理岗</w:t>
            </w: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服务接待礼仪</w:t>
            </w:r>
          </w:p>
        </w:tc>
        <w:tc>
          <w:tcPr>
            <w:tcW w:w="1614" w:type="dxa"/>
            <w:vAlign w:val="top"/>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30分</w:t>
            </w:r>
          </w:p>
        </w:tc>
        <w:tc>
          <w:tcPr>
            <w:tcW w:w="1443"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200分</w:t>
            </w:r>
          </w:p>
        </w:tc>
        <w:tc>
          <w:tcPr>
            <w:tcW w:w="1371"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疑难投诉处理</w:t>
            </w:r>
          </w:p>
        </w:tc>
        <w:tc>
          <w:tcPr>
            <w:tcW w:w="1614" w:type="dxa"/>
            <w:vAlign w:val="top"/>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客户分流与引导</w:t>
            </w:r>
          </w:p>
        </w:tc>
        <w:tc>
          <w:tcPr>
            <w:tcW w:w="1614" w:type="dxa"/>
            <w:vAlign w:val="top"/>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20分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厅堂业务知识</w:t>
            </w:r>
          </w:p>
        </w:tc>
        <w:tc>
          <w:tcPr>
            <w:tcW w:w="1614" w:type="dxa"/>
            <w:vAlign w:val="top"/>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30分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kern w:val="2"/>
                <w:sz w:val="24"/>
                <w:szCs w:val="24"/>
                <w:lang w:val="zh-CN" w:eastAsia="zh-CN" w:bidi="zh-CN"/>
              </w:rPr>
            </w:pPr>
            <w:r>
              <w:rPr>
                <w:rFonts w:hint="eastAsia" w:ascii="仿宋_GB2312" w:hAnsi="仿宋_GB2312" w:eastAsia="仿宋_GB2312" w:cs="仿宋_GB2312"/>
                <w:b w:val="0"/>
                <w:bCs/>
                <w:color w:val="auto"/>
                <w:sz w:val="24"/>
                <w:szCs w:val="24"/>
              </w:rPr>
              <w:t>营销能力</w:t>
            </w:r>
          </w:p>
        </w:tc>
        <w:tc>
          <w:tcPr>
            <w:tcW w:w="1614" w:type="dxa"/>
            <w:vAlign w:val="top"/>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kern w:val="2"/>
                <w:sz w:val="24"/>
                <w:szCs w:val="24"/>
                <w:lang w:val="zh-CN" w:eastAsia="zh-CN" w:bidi="zh-CN"/>
              </w:rPr>
            </w:pPr>
            <w:r>
              <w:rPr>
                <w:rFonts w:hint="eastAsia" w:ascii="仿宋_GB2312" w:hAnsi="仿宋_GB2312" w:eastAsia="仿宋_GB2312" w:cs="仿宋_GB2312"/>
                <w:b w:val="0"/>
                <w:bCs/>
                <w:color w:val="auto"/>
                <w:sz w:val="24"/>
                <w:szCs w:val="24"/>
                <w:lang w:val="en-US" w:eastAsia="zh-CN"/>
              </w:rPr>
              <w:t>40分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智能金融机具实操</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lang w:val="en-US" w:eastAsia="zh-CN"/>
              </w:rPr>
              <w:t>40分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综合柜员岗</w:t>
            </w: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通用业务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40分</w:t>
            </w:r>
          </w:p>
        </w:tc>
        <w:tc>
          <w:tcPr>
            <w:tcW w:w="1443"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200分</w:t>
            </w:r>
          </w:p>
        </w:tc>
        <w:tc>
          <w:tcPr>
            <w:tcW w:w="1371"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储蓄业务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40分</w:t>
            </w:r>
          </w:p>
        </w:tc>
        <w:tc>
          <w:tcPr>
            <w:tcW w:w="1443"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借记卡业务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30分</w:t>
            </w:r>
          </w:p>
        </w:tc>
        <w:tc>
          <w:tcPr>
            <w:tcW w:w="1443"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查冻扣业务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20分</w:t>
            </w:r>
          </w:p>
        </w:tc>
        <w:tc>
          <w:tcPr>
            <w:tcW w:w="1443"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代理业务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40分</w:t>
            </w:r>
          </w:p>
        </w:tc>
        <w:tc>
          <w:tcPr>
            <w:tcW w:w="1443"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lang w:eastAsia="zh-CN"/>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公司业务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30分</w:t>
            </w:r>
          </w:p>
        </w:tc>
        <w:tc>
          <w:tcPr>
            <w:tcW w:w="1443"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客户经理岗</w:t>
            </w: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个人贷款业务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100分</w:t>
            </w:r>
          </w:p>
        </w:tc>
        <w:tc>
          <w:tcPr>
            <w:tcW w:w="1443"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200分</w:t>
            </w:r>
          </w:p>
        </w:tc>
        <w:tc>
          <w:tcPr>
            <w:tcW w:w="1371"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公司贷款业务</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100分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理财经理岗</w:t>
            </w: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客户信息采集</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20分</w:t>
            </w:r>
          </w:p>
        </w:tc>
        <w:tc>
          <w:tcPr>
            <w:tcW w:w="1443"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200分</w:t>
            </w:r>
          </w:p>
        </w:tc>
        <w:tc>
          <w:tcPr>
            <w:tcW w:w="1371" w:type="dxa"/>
            <w:vMerge w:val="restart"/>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客户财务分析</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40分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理财目标分析</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40分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风险评估</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50分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2620"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理财规划</w:t>
            </w:r>
          </w:p>
        </w:tc>
        <w:tc>
          <w:tcPr>
            <w:tcW w:w="1614" w:type="dxa"/>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r>
              <w:rPr>
                <w:rFonts w:hint="eastAsia" w:ascii="仿宋_GB2312" w:hAnsi="仿宋_GB2312" w:eastAsia="仿宋_GB2312" w:cs="仿宋_GB2312"/>
                <w:b w:val="0"/>
                <w:bCs/>
                <w:color w:val="auto"/>
                <w:sz w:val="24"/>
                <w:szCs w:val="24"/>
              </w:rPr>
              <w:t>50分</w:t>
            </w:r>
          </w:p>
        </w:tc>
        <w:tc>
          <w:tcPr>
            <w:tcW w:w="1443" w:type="dxa"/>
            <w:vMerge w:val="continue"/>
            <w:tcBorders>
              <w:top w:val="nil"/>
            </w:tcBorders>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c>
          <w:tcPr>
            <w:tcW w:w="1371" w:type="dxa"/>
            <w:vMerge w:val="continue"/>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val="0"/>
                <w:bCs/>
                <w:color w:val="auto"/>
                <w:sz w:val="24"/>
                <w:szCs w:val="24"/>
              </w:rPr>
            </w:pPr>
          </w:p>
        </w:tc>
      </w:tr>
    </w:tbl>
    <w:p>
      <w:pPr>
        <w:pStyle w:val="24"/>
        <w:keepNext w:val="0"/>
        <w:keepLines w:val="0"/>
        <w:pageBreakBefore w:val="0"/>
        <w:widowControl w:val="0"/>
        <w:numPr>
          <w:ilvl w:val="0"/>
          <w:numId w:val="0"/>
        </w:numPr>
        <w:tabs>
          <w:tab w:val="left" w:pos="704"/>
        </w:tabs>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仿宋_GB2312" w:hAnsi="仿宋_GB2312" w:eastAsia="仿宋_GB2312" w:cs="仿宋_GB2312"/>
          <w:b/>
          <w:bCs/>
          <w:color w:val="auto"/>
          <w:sz w:val="28"/>
          <w:szCs w:val="28"/>
          <w:lang w:val="en-US" w:bidi="ar-SA"/>
        </w:rPr>
      </w:pPr>
      <w:r>
        <w:rPr>
          <w:rFonts w:hint="default" w:ascii="仿宋_GB2312" w:hAnsi="仿宋_GB2312" w:eastAsia="仿宋_GB2312" w:cs="仿宋_GB2312"/>
          <w:b/>
          <w:bCs/>
          <w:color w:val="auto"/>
          <w:sz w:val="28"/>
          <w:szCs w:val="28"/>
          <w:lang w:val="en-US" w:eastAsia="zh-CN" w:bidi="ar-SA"/>
        </w:rPr>
        <w:t>3.“数字金融业务”模块</w:t>
      </w:r>
      <w:r>
        <w:rPr>
          <w:rFonts w:hint="default" w:ascii="仿宋_GB2312" w:hAnsi="仿宋_GB2312" w:eastAsia="仿宋_GB2312" w:cs="仿宋_GB2312"/>
          <w:b/>
          <w:bCs/>
          <w:color w:val="auto"/>
          <w:spacing w:val="0"/>
          <w:sz w:val="28"/>
          <w:szCs w:val="28"/>
          <w:lang w:val="en-US" w:bidi="ar-SA"/>
        </w:rPr>
        <w:t>（共</w:t>
      </w:r>
      <w:r>
        <w:rPr>
          <w:rFonts w:hint="default" w:ascii="仿宋_GB2312" w:hAnsi="仿宋_GB2312" w:eastAsia="仿宋_GB2312" w:cs="仿宋_GB2312"/>
          <w:b/>
          <w:bCs/>
          <w:color w:val="auto"/>
          <w:spacing w:val="0"/>
          <w:sz w:val="28"/>
          <w:szCs w:val="28"/>
          <w:lang w:val="en-US" w:eastAsia="zh-CN" w:bidi="ar-SA"/>
        </w:rPr>
        <w:t>1000</w:t>
      </w:r>
      <w:r>
        <w:rPr>
          <w:rFonts w:hint="default" w:ascii="仿宋_GB2312" w:hAnsi="仿宋_GB2312" w:eastAsia="仿宋_GB2312" w:cs="仿宋_GB2312"/>
          <w:b/>
          <w:bCs/>
          <w:color w:val="auto"/>
          <w:spacing w:val="0"/>
          <w:sz w:val="28"/>
          <w:szCs w:val="28"/>
          <w:lang w:val="en-US" w:bidi="ar-SA"/>
        </w:rPr>
        <w:t>分。由四位选手协作完成。）</w:t>
      </w:r>
    </w:p>
    <w:tbl>
      <w:tblPr>
        <w:tblStyle w:val="16"/>
        <w:tblW w:w="8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27"/>
        <w:gridCol w:w="2242"/>
        <w:gridCol w:w="2465"/>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竞赛任务</w:t>
            </w:r>
          </w:p>
        </w:tc>
        <w:tc>
          <w:tcPr>
            <w:tcW w:w="2242"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eastAsia" w:ascii="仿宋_GB2312" w:hAnsi="仿宋_GB2312" w:eastAsia="仿宋_GB2312" w:cs="仿宋_GB2312"/>
                <w:b/>
                <w:bCs w:val="0"/>
                <w:color w:val="auto"/>
                <w:sz w:val="24"/>
                <w:szCs w:val="24"/>
              </w:rPr>
            </w:pPr>
            <w:r>
              <w:rPr>
                <w:rFonts w:hint="eastAsia" w:ascii="仿宋_GB2312" w:hAnsi="仿宋_GB2312" w:eastAsia="仿宋_GB2312" w:cs="仿宋_GB2312"/>
                <w:b/>
                <w:bCs w:val="0"/>
                <w:color w:val="auto"/>
                <w:sz w:val="24"/>
                <w:szCs w:val="24"/>
                <w:lang w:val="en-US" w:eastAsia="zh-CN"/>
              </w:rPr>
              <w:t>单任务</w:t>
            </w:r>
            <w:r>
              <w:rPr>
                <w:rFonts w:hint="eastAsia" w:ascii="仿宋_GB2312" w:hAnsi="仿宋_GB2312" w:eastAsia="仿宋_GB2312" w:cs="仿宋_GB2312"/>
                <w:b/>
                <w:bCs w:val="0"/>
                <w:color w:val="auto"/>
                <w:sz w:val="24"/>
                <w:szCs w:val="24"/>
              </w:rPr>
              <w:t>分值</w:t>
            </w:r>
          </w:p>
        </w:tc>
        <w:tc>
          <w:tcPr>
            <w:tcW w:w="2465"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default" w:ascii="仿宋_GB2312" w:hAnsi="仿宋_GB2312" w:eastAsia="仿宋_GB2312" w:cs="仿宋_GB2312"/>
                <w:b/>
                <w:bCs w:val="0"/>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总分</w:t>
            </w:r>
          </w:p>
        </w:tc>
        <w:tc>
          <w:tcPr>
            <w:tcW w:w="1385"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default" w:ascii="仿宋_GB2312" w:hAnsi="仿宋_GB2312" w:eastAsia="仿宋_GB2312" w:cs="仿宋_GB2312"/>
                <w:b/>
                <w:bCs w:val="0"/>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评分方法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default"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大数据金融业务</w:t>
            </w:r>
          </w:p>
        </w:tc>
        <w:tc>
          <w:tcPr>
            <w:tcW w:w="2242"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default"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100分</w:t>
            </w:r>
          </w:p>
        </w:tc>
        <w:tc>
          <w:tcPr>
            <w:tcW w:w="2465" w:type="dxa"/>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default"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1000分</w:t>
            </w:r>
          </w:p>
        </w:tc>
        <w:tc>
          <w:tcPr>
            <w:tcW w:w="1385"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default"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区块链金融业务</w:t>
            </w:r>
          </w:p>
        </w:tc>
        <w:tc>
          <w:tcPr>
            <w:tcW w:w="2242"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zh-CN" w:eastAsia="zh-CN"/>
              </w:rPr>
            </w:pPr>
            <w:r>
              <w:rPr>
                <w:rFonts w:hint="eastAsia" w:ascii="仿宋_GB2312" w:hAnsi="仿宋_GB2312" w:eastAsia="仿宋_GB2312" w:cs="仿宋_GB2312"/>
                <w:b w:val="0"/>
                <w:bCs/>
                <w:color w:val="auto"/>
                <w:sz w:val="24"/>
                <w:szCs w:val="24"/>
                <w:lang w:val="en-US" w:eastAsia="zh-CN"/>
              </w:rPr>
              <w:t>150分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2527"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支付业务数字化</w:t>
            </w:r>
          </w:p>
        </w:tc>
        <w:tc>
          <w:tcPr>
            <w:tcW w:w="2242"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150分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tcBorders>
              <w:top w:val="single" w:color="auto" w:sz="4" w:space="0"/>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银行业务数字化</w:t>
            </w:r>
          </w:p>
        </w:tc>
        <w:tc>
          <w:tcPr>
            <w:tcW w:w="2242" w:type="dxa"/>
            <w:tcBorders>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150分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tcBorders>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tcBorders>
              <w:top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证券业务数字化</w:t>
            </w:r>
          </w:p>
        </w:tc>
        <w:tc>
          <w:tcPr>
            <w:tcW w:w="2242" w:type="dxa"/>
            <w:tcBorders>
              <w:top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200分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tcBorders>
              <w:top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tcBorders>
              <w:top w:val="single" w:color="auto" w:sz="4" w:space="0"/>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default"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保险业业务数字化</w:t>
            </w:r>
          </w:p>
        </w:tc>
        <w:tc>
          <w:tcPr>
            <w:tcW w:w="2242" w:type="dxa"/>
            <w:tcBorders>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zh-CN" w:eastAsia="zh-CN"/>
              </w:rPr>
            </w:pPr>
            <w:r>
              <w:rPr>
                <w:rFonts w:hint="eastAsia" w:ascii="仿宋_GB2312" w:hAnsi="仿宋_GB2312" w:eastAsia="仿宋_GB2312" w:cs="仿宋_GB2312"/>
                <w:b w:val="0"/>
                <w:bCs/>
                <w:color w:val="auto"/>
                <w:sz w:val="24"/>
                <w:szCs w:val="24"/>
                <w:lang w:val="en-US" w:eastAsia="zh-CN"/>
              </w:rPr>
              <w:t>150分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tcBorders>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tcBorders>
              <w:top w:val="single" w:color="auto" w:sz="4" w:space="0"/>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金融科技业务创新</w:t>
            </w:r>
          </w:p>
        </w:tc>
        <w:tc>
          <w:tcPr>
            <w:tcW w:w="2242" w:type="dxa"/>
            <w:tcBorders>
              <w:top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50分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tcBorders>
              <w:top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527" w:type="dxa"/>
            <w:tcBorders>
              <w:top w:val="single" w:color="auto" w:sz="4" w:space="0"/>
              <w:bottom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数字金融业务监管</w:t>
            </w:r>
          </w:p>
        </w:tc>
        <w:tc>
          <w:tcPr>
            <w:tcW w:w="2242"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50分</w:t>
            </w:r>
          </w:p>
        </w:tc>
        <w:tc>
          <w:tcPr>
            <w:tcW w:w="2465" w:type="dxa"/>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p>
        </w:tc>
        <w:tc>
          <w:tcPr>
            <w:tcW w:w="1385" w:type="dxa"/>
            <w:noWrap w:val="0"/>
            <w:vAlign w:val="center"/>
          </w:tcPr>
          <w:p>
            <w:pPr>
              <w:pStyle w:val="25"/>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center"/>
              <w:textAlignment w:val="auto"/>
              <w:outlineLvl w:val="9"/>
              <w:rPr>
                <w:rFonts w:hint="eastAsia" w:ascii="仿宋_GB2312" w:hAnsi="仿宋_GB2312" w:eastAsia="仿宋_GB2312" w:cs="仿宋_GB2312"/>
                <w:b w:val="0"/>
                <w:bCs/>
                <w:color w:val="auto"/>
                <w:sz w:val="24"/>
                <w:szCs w:val="24"/>
                <w:lang w:val="en-US" w:eastAsia="zh-CN"/>
              </w:rPr>
            </w:pPr>
            <w:r>
              <w:rPr>
                <w:rFonts w:hint="eastAsia" w:ascii="仿宋_GB2312" w:hAnsi="仿宋_GB2312" w:eastAsia="仿宋_GB2312" w:cs="仿宋_GB2312"/>
                <w:b w:val="0"/>
                <w:bCs/>
                <w:color w:val="auto"/>
                <w:sz w:val="24"/>
                <w:szCs w:val="24"/>
                <w:lang w:val="en-US" w:eastAsia="zh-CN"/>
              </w:rPr>
              <w:t>系统评分</w:t>
            </w:r>
          </w:p>
        </w:tc>
      </w:tr>
    </w:tbl>
    <w:p>
      <w:pPr>
        <w:pStyle w:val="10"/>
        <w:keepNext w:val="0"/>
        <w:keepLines w:val="0"/>
        <w:numPr>
          <w:ilvl w:val="1"/>
          <w:numId w:val="0"/>
        </w:numPr>
        <w:autoSpaceDE w:val="0"/>
        <w:autoSpaceDN w:val="0"/>
        <w:bidi w:val="0"/>
        <w:adjustRightInd w:val="0"/>
        <w:snapToGrid w:val="0"/>
        <w:spacing w:before="0" w:after="0" w:line="360" w:lineRule="auto"/>
        <w:ind w:left="0" w:leftChars="0" w:firstLine="512" w:firstLineChars="200"/>
        <w:outlineLvl w:val="9"/>
        <w:rPr>
          <w:rFonts w:hint="eastAsia" w:ascii="楷体" w:hAnsi="楷体" w:eastAsia="楷体" w:cs="楷体"/>
          <w:bCs/>
          <w:spacing w:val="-4"/>
          <w:sz w:val="28"/>
          <w:szCs w:val="28"/>
          <w:highlight w:val="none"/>
          <w:lang w:val="en-US" w:bidi="ar-SA"/>
        </w:rPr>
      </w:pPr>
      <w:r>
        <w:rPr>
          <w:rFonts w:hint="eastAsia" w:ascii="仿宋_GB2312" w:hAnsi="仿宋_GB2312" w:eastAsia="仿宋_GB2312" w:cs="仿宋_GB2312"/>
          <w:color w:val="auto"/>
          <w:spacing w:val="-12"/>
          <w:sz w:val="28"/>
          <w:szCs w:val="28"/>
        </w:rPr>
        <w:t>评分</w:t>
      </w:r>
      <w:r>
        <w:rPr>
          <w:rFonts w:hint="eastAsia" w:ascii="仿宋_GB2312" w:hAnsi="仿宋_GB2312" w:eastAsia="仿宋_GB2312" w:cs="仿宋_GB2312"/>
          <w:color w:val="auto"/>
          <w:spacing w:val="-12"/>
          <w:sz w:val="28"/>
          <w:szCs w:val="28"/>
          <w:lang w:val="en-US" w:eastAsia="zh-CN"/>
        </w:rPr>
        <w:t>细节说明：</w:t>
      </w:r>
      <w:r>
        <w:rPr>
          <w:rFonts w:hint="eastAsia" w:ascii="仿宋_GB2312" w:hAnsi="仿宋_GB2312" w:eastAsia="仿宋_GB2312" w:cs="仿宋_GB2312"/>
          <w:color w:val="auto"/>
          <w:spacing w:val="-12"/>
          <w:sz w:val="28"/>
          <w:szCs w:val="28"/>
          <w:lang w:eastAsia="zh-CN"/>
        </w:rPr>
        <w:t>竞赛平台根据该岗位实际工作任务设定竞赛任务，每个模块</w:t>
      </w:r>
      <w:r>
        <w:rPr>
          <w:rFonts w:hint="eastAsia" w:ascii="仿宋_GB2312" w:hAnsi="仿宋_GB2312" w:eastAsia="仿宋_GB2312" w:cs="仿宋_GB2312"/>
          <w:color w:val="auto"/>
          <w:spacing w:val="-12"/>
          <w:sz w:val="28"/>
          <w:szCs w:val="28"/>
          <w:lang w:val="en-US" w:eastAsia="zh-CN"/>
        </w:rPr>
        <w:t>中</w:t>
      </w:r>
      <w:r>
        <w:rPr>
          <w:rFonts w:hint="eastAsia" w:ascii="仿宋_GB2312" w:hAnsi="仿宋_GB2312" w:eastAsia="仿宋_GB2312" w:cs="仿宋_GB2312"/>
          <w:color w:val="auto"/>
          <w:spacing w:val="-12"/>
          <w:sz w:val="28"/>
          <w:szCs w:val="28"/>
          <w:lang w:eastAsia="zh-CN"/>
        </w:rPr>
        <w:t>参赛选手需要分别担任不同</w:t>
      </w:r>
      <w:r>
        <w:rPr>
          <w:rFonts w:hint="eastAsia" w:ascii="仿宋_GB2312" w:hAnsi="仿宋_GB2312" w:eastAsia="仿宋_GB2312" w:cs="仿宋_GB2312"/>
          <w:color w:val="auto"/>
          <w:spacing w:val="-12"/>
          <w:sz w:val="28"/>
          <w:szCs w:val="28"/>
          <w:lang w:val="en-US" w:eastAsia="zh-CN"/>
        </w:rPr>
        <w:t>业务</w:t>
      </w:r>
      <w:r>
        <w:rPr>
          <w:rFonts w:hint="eastAsia" w:ascii="仿宋_GB2312" w:hAnsi="仿宋_GB2312" w:eastAsia="仿宋_GB2312" w:cs="仿宋_GB2312"/>
          <w:color w:val="auto"/>
          <w:spacing w:val="-12"/>
          <w:sz w:val="28"/>
          <w:szCs w:val="28"/>
          <w:lang w:eastAsia="zh-CN"/>
        </w:rPr>
        <w:t>角色，以团队成员分工协作共同完成</w:t>
      </w:r>
      <w:r>
        <w:rPr>
          <w:rFonts w:hint="eastAsia" w:ascii="仿宋_GB2312" w:hAnsi="仿宋_GB2312" w:eastAsia="仿宋_GB2312" w:cs="仿宋_GB2312"/>
          <w:color w:val="auto"/>
          <w:spacing w:val="-12"/>
          <w:sz w:val="28"/>
          <w:szCs w:val="28"/>
          <w:lang w:val="en-US" w:eastAsia="zh-CN"/>
        </w:rPr>
        <w:t>竞赛任务</w:t>
      </w:r>
      <w:r>
        <w:rPr>
          <w:rFonts w:hint="eastAsia" w:ascii="仿宋_GB2312" w:hAnsi="仿宋_GB2312" w:eastAsia="仿宋_GB2312" w:cs="仿宋_GB2312"/>
          <w:color w:val="auto"/>
          <w:spacing w:val="-12"/>
          <w:sz w:val="28"/>
          <w:szCs w:val="28"/>
          <w:lang w:eastAsia="zh-CN"/>
        </w:rPr>
        <w:t>。竞赛选手完成相应竞赛任务，系统会自动比对任务操作情况评定相应分值。</w:t>
      </w:r>
      <w:bookmarkStart w:id="15" w:name="_Toc8342"/>
      <w:bookmarkStart w:id="16" w:name="_Toc549"/>
      <w:bookmarkStart w:id="17" w:name="_Toc27580"/>
      <w:bookmarkStart w:id="18" w:name="_Toc30999"/>
      <w:bookmarkStart w:id="19" w:name="_Toc9804"/>
    </w:p>
    <w:p>
      <w:pPr>
        <w:pStyle w:val="10"/>
        <w:keepNext w:val="0"/>
        <w:keepLines w:val="0"/>
        <w:numPr>
          <w:ilvl w:val="1"/>
          <w:numId w:val="0"/>
        </w:numPr>
        <w:autoSpaceDE w:val="0"/>
        <w:autoSpaceDN w:val="0"/>
        <w:bidi w:val="0"/>
        <w:adjustRightInd w:val="0"/>
        <w:snapToGrid w:val="0"/>
        <w:spacing w:before="0" w:after="0" w:line="360" w:lineRule="auto"/>
        <w:ind w:left="0" w:leftChars="0" w:firstLine="544" w:firstLineChars="200"/>
        <w:outlineLvl w:val="9"/>
        <w:rPr>
          <w:rFonts w:hint="eastAsia" w:ascii="楷体" w:hAnsi="楷体" w:eastAsia="楷体" w:cs="楷体"/>
          <w:bCs/>
          <w:color w:val="auto"/>
          <w:spacing w:val="-4"/>
          <w:sz w:val="28"/>
          <w:szCs w:val="28"/>
          <w:highlight w:val="none"/>
          <w:lang w:val="en-US" w:bidi="ar-SA"/>
        </w:rPr>
      </w:pPr>
      <w:r>
        <w:rPr>
          <w:rFonts w:hint="eastAsia" w:ascii="楷体" w:hAnsi="楷体" w:eastAsia="楷体" w:cs="楷体"/>
          <w:bCs/>
          <w:color w:val="auto"/>
          <w:spacing w:val="-4"/>
          <w:sz w:val="28"/>
          <w:szCs w:val="28"/>
          <w:highlight w:val="none"/>
          <w:lang w:val="en-US" w:bidi="ar-SA"/>
        </w:rPr>
        <w:t>（四）分值统计</w:t>
      </w:r>
      <w:bookmarkEnd w:id="15"/>
      <w:bookmarkEnd w:id="16"/>
      <w:bookmarkEnd w:id="17"/>
      <w:bookmarkEnd w:id="18"/>
      <w:bookmarkEnd w:id="19"/>
    </w:p>
    <w:p>
      <w:pPr>
        <w:pStyle w:val="10"/>
        <w:keepNext w:val="0"/>
        <w:keepLines w:val="0"/>
        <w:numPr>
          <w:ilvl w:val="1"/>
          <w:numId w:val="0"/>
        </w:numPr>
        <w:autoSpaceDE w:val="0"/>
        <w:autoSpaceDN w:val="0"/>
        <w:bidi w:val="0"/>
        <w:adjustRightInd w:val="0"/>
        <w:snapToGrid w:val="0"/>
        <w:spacing w:before="0" w:after="0" w:line="360" w:lineRule="auto"/>
        <w:ind w:left="0" w:leftChars="0" w:firstLine="512" w:firstLineChars="200"/>
        <w:outlineLvl w:val="9"/>
        <w:rPr>
          <w:rFonts w:hint="eastAsia" w:ascii="楷体" w:hAnsi="楷体" w:eastAsia="楷体" w:cs="楷体"/>
          <w:bCs/>
          <w:spacing w:val="-4"/>
          <w:sz w:val="28"/>
          <w:szCs w:val="28"/>
          <w:highlight w:val="none"/>
          <w:lang w:val="en-US" w:bidi="ar-SA"/>
        </w:rPr>
      </w:pPr>
      <w:r>
        <w:rPr>
          <w:rFonts w:hint="eastAsia" w:ascii="仿宋_GB2312" w:hAnsi="仿宋_GB2312" w:eastAsia="仿宋_GB2312" w:cs="仿宋_GB2312"/>
          <w:b w:val="0"/>
          <w:bCs w:val="0"/>
          <w:color w:val="auto"/>
          <w:spacing w:val="-12"/>
          <w:sz w:val="28"/>
          <w:szCs w:val="28"/>
        </w:rPr>
        <w:t>“</w:t>
      </w:r>
      <w:r>
        <w:rPr>
          <w:rFonts w:hint="eastAsia" w:ascii="仿宋_GB2312" w:hAnsi="仿宋_GB2312" w:eastAsia="仿宋_GB2312" w:cs="仿宋_GB2312"/>
          <w:b w:val="0"/>
          <w:bCs w:val="0"/>
          <w:color w:val="auto"/>
          <w:sz w:val="28"/>
          <w:szCs w:val="28"/>
          <w:lang w:val="en-US" w:eastAsia="zh-CN"/>
        </w:rPr>
        <w:t>金融职业素养</w:t>
      </w:r>
      <w:r>
        <w:rPr>
          <w:rFonts w:hint="eastAsia" w:ascii="仿宋_GB2312" w:hAnsi="仿宋_GB2312" w:eastAsia="仿宋_GB2312" w:cs="仿宋_GB2312"/>
          <w:b w:val="0"/>
          <w:bCs w:val="0"/>
          <w:color w:val="auto"/>
          <w:spacing w:val="-12"/>
          <w:sz w:val="28"/>
          <w:szCs w:val="28"/>
        </w:rPr>
        <w:t>”</w:t>
      </w:r>
      <w:r>
        <w:rPr>
          <w:rFonts w:hint="eastAsia" w:ascii="仿宋_GB2312" w:hAnsi="仿宋_GB2312" w:eastAsia="仿宋_GB2312" w:cs="仿宋_GB2312"/>
          <w:color w:val="auto"/>
          <w:spacing w:val="-14"/>
          <w:sz w:val="28"/>
          <w:szCs w:val="28"/>
        </w:rPr>
        <w:t>赛项团队分值</w:t>
      </w:r>
      <w:r>
        <w:rPr>
          <w:rFonts w:hint="eastAsia" w:ascii="仿宋_GB2312" w:hAnsi="仿宋_GB2312" w:eastAsia="仿宋_GB2312" w:cs="仿宋_GB2312"/>
          <w:color w:val="auto"/>
          <w:sz w:val="28"/>
          <w:szCs w:val="28"/>
          <w:lang w:val="en-US" w:eastAsia="zh-CN"/>
        </w:rPr>
        <w:t>12</w:t>
      </w:r>
      <w:r>
        <w:rPr>
          <w:rFonts w:hint="eastAsia" w:ascii="仿宋_GB2312" w:hAnsi="仿宋_GB2312" w:eastAsia="仿宋_GB2312" w:cs="仿宋_GB2312"/>
          <w:color w:val="auto"/>
          <w:sz w:val="28"/>
          <w:szCs w:val="28"/>
        </w:rPr>
        <w:t>00</w:t>
      </w:r>
      <w:r>
        <w:rPr>
          <w:rFonts w:hint="eastAsia" w:ascii="仿宋_GB2312" w:hAnsi="仿宋_GB2312" w:eastAsia="仿宋_GB2312" w:cs="仿宋_GB2312"/>
          <w:color w:val="auto"/>
          <w:spacing w:val="-12"/>
          <w:sz w:val="28"/>
          <w:szCs w:val="28"/>
        </w:rPr>
        <w:t>分、“</w:t>
      </w:r>
      <w:r>
        <w:rPr>
          <w:rFonts w:hint="eastAsia" w:ascii="仿宋_GB2312" w:hAnsi="仿宋_GB2312" w:eastAsia="仿宋_GB2312" w:cs="仿宋_GB2312"/>
          <w:b w:val="0"/>
          <w:bCs w:val="0"/>
          <w:color w:val="auto"/>
          <w:sz w:val="28"/>
          <w:szCs w:val="28"/>
          <w:lang w:val="en-US" w:eastAsia="zh-CN"/>
        </w:rPr>
        <w:t>金融</w:t>
      </w:r>
      <w:r>
        <w:rPr>
          <w:rFonts w:hint="eastAsia" w:ascii="仿宋_GB2312" w:hAnsi="仿宋_GB2312" w:cs="仿宋_GB2312"/>
          <w:b w:val="0"/>
          <w:bCs w:val="0"/>
          <w:color w:val="auto"/>
          <w:sz w:val="28"/>
          <w:szCs w:val="28"/>
          <w:lang w:val="en-US" w:eastAsia="zh-CN"/>
        </w:rPr>
        <w:t>综合技能</w:t>
      </w:r>
      <w:r>
        <w:rPr>
          <w:rFonts w:hint="eastAsia" w:ascii="仿宋_GB2312" w:hAnsi="仿宋_GB2312" w:eastAsia="仿宋_GB2312" w:cs="仿宋_GB2312"/>
          <w:color w:val="auto"/>
          <w:spacing w:val="-12"/>
          <w:sz w:val="28"/>
          <w:szCs w:val="28"/>
        </w:rPr>
        <w:t>”赛项团队分值</w:t>
      </w:r>
      <w:r>
        <w:rPr>
          <w:rFonts w:hint="eastAsia" w:ascii="仿宋_GB2312" w:hAnsi="仿宋_GB2312" w:eastAsia="仿宋_GB2312" w:cs="仿宋_GB2312"/>
          <w:color w:val="auto"/>
          <w:sz w:val="28"/>
          <w:szCs w:val="28"/>
        </w:rPr>
        <w:t>800</w:t>
      </w:r>
      <w:r>
        <w:rPr>
          <w:rFonts w:hint="eastAsia" w:ascii="仿宋_GB2312" w:hAnsi="仿宋_GB2312" w:eastAsia="仿宋_GB2312" w:cs="仿宋_GB2312"/>
          <w:color w:val="auto"/>
          <w:spacing w:val="-12"/>
          <w:sz w:val="28"/>
          <w:szCs w:val="28"/>
        </w:rPr>
        <w:t>分、“</w:t>
      </w:r>
      <w:r>
        <w:rPr>
          <w:rFonts w:hint="eastAsia" w:ascii="仿宋_GB2312" w:hAnsi="仿宋_GB2312" w:cs="仿宋_GB2312"/>
          <w:color w:val="auto"/>
          <w:spacing w:val="-12"/>
          <w:sz w:val="28"/>
          <w:szCs w:val="28"/>
          <w:lang w:val="en-US" w:eastAsia="zh-CN"/>
        </w:rPr>
        <w:t>数字金融业务</w:t>
      </w:r>
      <w:r>
        <w:rPr>
          <w:rFonts w:hint="eastAsia" w:ascii="仿宋_GB2312" w:hAnsi="仿宋_GB2312" w:eastAsia="仿宋_GB2312" w:cs="仿宋_GB2312"/>
          <w:color w:val="auto"/>
          <w:spacing w:val="-5"/>
          <w:sz w:val="28"/>
          <w:szCs w:val="28"/>
        </w:rPr>
        <w:t>”赛项团队分值</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rPr>
        <w:t>00</w:t>
      </w:r>
      <w:r>
        <w:rPr>
          <w:rFonts w:hint="eastAsia" w:ascii="仿宋_GB2312" w:hAnsi="仿宋_GB2312" w:eastAsia="仿宋_GB2312" w:cs="仿宋_GB2312"/>
          <w:color w:val="auto"/>
          <w:spacing w:val="-8"/>
          <w:sz w:val="28"/>
          <w:szCs w:val="28"/>
        </w:rPr>
        <w:t>分。上述四项合计团队总分为</w:t>
      </w:r>
      <w:r>
        <w:rPr>
          <w:rFonts w:hint="eastAsia" w:ascii="仿宋_GB2312" w:hAnsi="仿宋_GB2312" w:eastAsia="仿宋_GB2312" w:cs="仿宋_GB2312"/>
          <w:color w:val="auto"/>
          <w:spacing w:val="-8"/>
          <w:sz w:val="28"/>
          <w:szCs w:val="28"/>
          <w:lang w:val="en-US" w:eastAsia="zh-CN"/>
        </w:rPr>
        <w:t>3000</w:t>
      </w:r>
      <w:r>
        <w:rPr>
          <w:rFonts w:hint="eastAsia" w:ascii="仿宋_GB2312" w:hAnsi="仿宋_GB2312" w:eastAsia="仿宋_GB2312" w:cs="仿宋_GB2312"/>
          <w:color w:val="auto"/>
          <w:sz w:val="28"/>
          <w:szCs w:val="28"/>
        </w:rPr>
        <w:t>分。成绩审核无误后转换成百分制进行公示、上报。</w:t>
      </w:r>
      <w:bookmarkStart w:id="20" w:name="_Toc7527"/>
      <w:bookmarkStart w:id="21" w:name="_Toc24333"/>
      <w:bookmarkStart w:id="22" w:name="_Toc29418"/>
      <w:bookmarkStart w:id="23" w:name="_Toc21670"/>
      <w:bookmarkStart w:id="24" w:name="_Toc3995"/>
    </w:p>
    <w:p>
      <w:pPr>
        <w:pStyle w:val="10"/>
        <w:keepNext w:val="0"/>
        <w:keepLines w:val="0"/>
        <w:numPr>
          <w:ilvl w:val="1"/>
          <w:numId w:val="0"/>
        </w:numPr>
        <w:autoSpaceDE w:val="0"/>
        <w:autoSpaceDN w:val="0"/>
        <w:bidi w:val="0"/>
        <w:adjustRightInd w:val="0"/>
        <w:snapToGrid w:val="0"/>
        <w:spacing w:before="0" w:after="0" w:line="360" w:lineRule="auto"/>
        <w:ind w:left="0" w:leftChars="0" w:firstLine="544" w:firstLineChars="200"/>
        <w:outlineLvl w:val="9"/>
        <w:rPr>
          <w:rFonts w:hint="eastAsia" w:ascii="仿宋_GB2312" w:hAnsi="仿宋_GB2312" w:eastAsia="仿宋_GB2312" w:cs="仿宋_GB2312"/>
          <w:color w:val="auto"/>
          <w:sz w:val="28"/>
          <w:szCs w:val="28"/>
        </w:rPr>
      </w:pPr>
      <w:r>
        <w:rPr>
          <w:rFonts w:hint="eastAsia" w:ascii="楷体" w:hAnsi="楷体" w:eastAsia="楷体" w:cs="楷体"/>
          <w:bCs/>
          <w:color w:val="auto"/>
          <w:spacing w:val="-4"/>
          <w:sz w:val="28"/>
          <w:szCs w:val="28"/>
          <w:highlight w:val="none"/>
          <w:lang w:val="en-US" w:bidi="ar-SA"/>
        </w:rPr>
        <w:t>（五）裁判员选聘</w:t>
      </w:r>
      <w:bookmarkEnd w:id="20"/>
      <w:bookmarkEnd w:id="21"/>
      <w:bookmarkEnd w:id="22"/>
      <w:bookmarkEnd w:id="23"/>
      <w:bookmarkEnd w:id="24"/>
    </w:p>
    <w:p>
      <w:pPr>
        <w:pStyle w:val="10"/>
        <w:keepNext w:val="0"/>
        <w:keepLines w:val="0"/>
        <w:numPr>
          <w:ilvl w:val="1"/>
          <w:numId w:val="0"/>
        </w:numPr>
        <w:autoSpaceDE w:val="0"/>
        <w:autoSpaceDN w:val="0"/>
        <w:bidi w:val="0"/>
        <w:adjustRightInd w:val="0"/>
        <w:snapToGrid w:val="0"/>
        <w:spacing w:before="0" w:after="0" w:line="360" w:lineRule="auto"/>
        <w:ind w:left="0" w:leftChars="0" w:firstLine="560" w:firstLineChars="200"/>
        <w:outlineLvl w:val="9"/>
        <w:rPr>
          <w:rFonts w:hint="eastAsia" w:ascii="楷体" w:hAnsi="楷体" w:eastAsia="楷体" w:cs="楷体"/>
          <w:bCs/>
          <w:spacing w:val="-4"/>
          <w:sz w:val="28"/>
          <w:szCs w:val="28"/>
          <w:highlight w:val="none"/>
          <w:lang w:val="en-US" w:bidi="ar-SA"/>
        </w:rPr>
      </w:pPr>
      <w:r>
        <w:rPr>
          <w:rFonts w:hint="eastAsia" w:ascii="仿宋_GB2312" w:hAnsi="仿宋_GB2312" w:eastAsia="仿宋_GB2312" w:cs="仿宋_GB2312"/>
          <w:color w:val="auto"/>
          <w:spacing w:val="0"/>
          <w:sz w:val="28"/>
          <w:szCs w:val="28"/>
        </w:rPr>
        <w:t>按照最新《全国职业院校技能大赛专家和裁判工作管理办法》建立全国职业院校技能大赛赛项裁判库，由全国职业院校技能大赛执委会在赛项裁判库中抽定赛项裁判人员。裁判长由赛项执委会向大赛执委会推荐，由大赛执委会聘任。</w:t>
      </w:r>
      <w:bookmarkStart w:id="25" w:name="_Toc25994"/>
      <w:bookmarkStart w:id="26" w:name="_Toc29382"/>
      <w:bookmarkStart w:id="27" w:name="_Toc18371"/>
      <w:bookmarkStart w:id="28" w:name="_Toc6298"/>
      <w:bookmarkStart w:id="29" w:name="_Toc8205"/>
    </w:p>
    <w:p>
      <w:pPr>
        <w:pStyle w:val="10"/>
        <w:keepNext w:val="0"/>
        <w:keepLines w:val="0"/>
        <w:numPr>
          <w:ilvl w:val="1"/>
          <w:numId w:val="0"/>
        </w:numPr>
        <w:autoSpaceDE w:val="0"/>
        <w:autoSpaceDN w:val="0"/>
        <w:bidi w:val="0"/>
        <w:adjustRightInd w:val="0"/>
        <w:snapToGrid w:val="0"/>
        <w:spacing w:before="0" w:after="0" w:line="360" w:lineRule="auto"/>
        <w:ind w:left="0" w:leftChars="0" w:firstLine="544" w:firstLineChars="200"/>
        <w:outlineLvl w:val="9"/>
        <w:rPr>
          <w:rFonts w:hint="eastAsia" w:ascii="楷体" w:hAnsi="楷体" w:eastAsia="楷体" w:cs="楷体"/>
          <w:bCs/>
          <w:color w:val="auto"/>
          <w:spacing w:val="-4"/>
          <w:sz w:val="28"/>
          <w:szCs w:val="28"/>
          <w:highlight w:val="none"/>
          <w:lang w:val="en-US" w:bidi="ar-SA"/>
        </w:rPr>
      </w:pPr>
      <w:r>
        <w:rPr>
          <w:rFonts w:hint="eastAsia" w:ascii="楷体" w:hAnsi="楷体" w:eastAsia="楷体" w:cs="楷体"/>
          <w:bCs/>
          <w:color w:val="auto"/>
          <w:spacing w:val="-4"/>
          <w:sz w:val="28"/>
          <w:szCs w:val="28"/>
          <w:highlight w:val="none"/>
          <w:lang w:val="en-US" w:bidi="ar-SA"/>
        </w:rPr>
        <w:t>（六）裁判员与技术人员人数</w:t>
      </w:r>
      <w:bookmarkEnd w:id="25"/>
      <w:bookmarkEnd w:id="26"/>
      <w:bookmarkEnd w:id="27"/>
      <w:bookmarkEnd w:id="28"/>
      <w:bookmarkEnd w:id="29"/>
    </w:p>
    <w:tbl>
      <w:tblPr>
        <w:tblStyle w:val="16"/>
        <w:tblW w:w="84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2"/>
        <w:gridCol w:w="1225"/>
        <w:gridCol w:w="2466"/>
        <w:gridCol w:w="1434"/>
        <w:gridCol w:w="1977"/>
        <w:gridCol w:w="6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62" w:type="dxa"/>
            <w:tcBorders>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序号</w:t>
            </w:r>
          </w:p>
        </w:tc>
        <w:tc>
          <w:tcPr>
            <w:tcW w:w="1225" w:type="dxa"/>
            <w:tcBorders>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专业技术方向</w:t>
            </w:r>
          </w:p>
        </w:tc>
        <w:tc>
          <w:tcPr>
            <w:tcW w:w="2466" w:type="dxa"/>
            <w:tcBorders>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知识能力要求</w:t>
            </w:r>
          </w:p>
        </w:tc>
        <w:tc>
          <w:tcPr>
            <w:tcW w:w="1434" w:type="dxa"/>
            <w:tcBorders>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执裁、教学、工作经历</w:t>
            </w:r>
          </w:p>
        </w:tc>
        <w:tc>
          <w:tcPr>
            <w:tcW w:w="1977" w:type="dxa"/>
            <w:tcBorders>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专业技术职称</w:t>
            </w:r>
          </w:p>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（职业资格等级）</w:t>
            </w:r>
          </w:p>
        </w:tc>
        <w:tc>
          <w:tcPr>
            <w:tcW w:w="674" w:type="dxa"/>
            <w:tcBorders>
              <w:left w:val="single" w:color="000000" w:sz="4" w:space="0"/>
              <w:bottom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4" w:hRule="atLeast"/>
          <w:jc w:val="center"/>
        </w:trPr>
        <w:tc>
          <w:tcPr>
            <w:tcW w:w="662" w:type="dxa"/>
            <w:tcBorders>
              <w:top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w w:val="100"/>
                <w:sz w:val="24"/>
                <w:szCs w:val="24"/>
              </w:rPr>
              <w:t>1</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right="105" w:rightChars="50"/>
              <w:jc w:val="both"/>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裁判（金融</w:t>
            </w:r>
            <w:r>
              <w:rPr>
                <w:rFonts w:hint="eastAsia" w:ascii="仿宋_GB2312" w:hAnsi="仿宋_GB2312" w:eastAsia="仿宋_GB2312" w:cs="仿宋_GB2312"/>
                <w:color w:val="auto"/>
                <w:sz w:val="24"/>
                <w:szCs w:val="24"/>
                <w:lang w:val="en-US" w:eastAsia="zh-CN"/>
              </w:rPr>
              <w:t>类</w:t>
            </w:r>
            <w:r>
              <w:rPr>
                <w:rFonts w:hint="eastAsia" w:ascii="仿宋_GB2312" w:hAnsi="仿宋_GB2312" w:eastAsia="仿宋_GB2312" w:cs="仿宋_GB2312"/>
                <w:color w:val="auto"/>
                <w:sz w:val="24"/>
                <w:szCs w:val="24"/>
              </w:rPr>
              <w:t>专业）</w:t>
            </w:r>
          </w:p>
        </w:tc>
        <w:tc>
          <w:tcPr>
            <w:tcW w:w="2466"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9"/>
                <w:sz w:val="24"/>
                <w:szCs w:val="24"/>
              </w:rPr>
              <w:t>熟悉点钞、传票</w:t>
            </w:r>
            <w:r>
              <w:rPr>
                <w:rFonts w:hint="eastAsia" w:ascii="仿宋_GB2312" w:hAnsi="仿宋_GB2312" w:eastAsia="仿宋_GB2312" w:cs="仿宋_GB2312"/>
                <w:color w:val="auto"/>
                <w:spacing w:val="-13"/>
                <w:sz w:val="24"/>
                <w:szCs w:val="24"/>
              </w:rPr>
              <w:t>算等技能，了解</w:t>
            </w:r>
            <w:r>
              <w:rPr>
                <w:rFonts w:hint="eastAsia" w:ascii="仿宋_GB2312" w:hAnsi="仿宋_GB2312" w:eastAsia="仿宋_GB2312" w:cs="仿宋_GB2312"/>
                <w:color w:val="auto"/>
                <w:spacing w:val="-15"/>
                <w:sz w:val="24"/>
                <w:szCs w:val="24"/>
              </w:rPr>
              <w:t>银行业务、区块</w:t>
            </w:r>
            <w:r>
              <w:rPr>
                <w:rFonts w:hint="eastAsia" w:ascii="仿宋_GB2312" w:hAnsi="仿宋_GB2312" w:eastAsia="仿宋_GB2312" w:cs="仿宋_GB2312"/>
                <w:color w:val="auto"/>
                <w:spacing w:val="-14"/>
                <w:sz w:val="24"/>
                <w:szCs w:val="24"/>
              </w:rPr>
              <w:t>链金融、个人理</w:t>
            </w:r>
            <w:r>
              <w:rPr>
                <w:rFonts w:hint="eastAsia" w:ascii="仿宋_GB2312" w:hAnsi="仿宋_GB2312" w:eastAsia="仿宋_GB2312" w:cs="仿宋_GB2312"/>
                <w:color w:val="auto"/>
                <w:spacing w:val="-9"/>
                <w:sz w:val="24"/>
                <w:szCs w:val="24"/>
              </w:rPr>
              <w:t>财业务、保险代</w:t>
            </w:r>
            <w:r>
              <w:rPr>
                <w:rFonts w:hint="eastAsia" w:ascii="仿宋_GB2312" w:hAnsi="仿宋_GB2312" w:eastAsia="仿宋_GB2312" w:cs="仿宋_GB2312"/>
                <w:color w:val="auto"/>
                <w:spacing w:val="-12"/>
                <w:sz w:val="24"/>
                <w:szCs w:val="24"/>
              </w:rPr>
              <w:t>理业务、银行服</w:t>
            </w:r>
            <w:r>
              <w:rPr>
                <w:rFonts w:hint="eastAsia" w:ascii="仿宋_GB2312" w:hAnsi="仿宋_GB2312" w:eastAsia="仿宋_GB2312" w:cs="仿宋_GB2312"/>
                <w:color w:val="auto"/>
                <w:spacing w:val="-10"/>
                <w:sz w:val="24"/>
                <w:szCs w:val="24"/>
              </w:rPr>
              <w:t>务流程及规范、</w:t>
            </w:r>
            <w:r>
              <w:rPr>
                <w:rFonts w:hint="eastAsia" w:ascii="仿宋_GB2312" w:hAnsi="仿宋_GB2312" w:eastAsia="仿宋_GB2312" w:cs="仿宋_GB2312"/>
                <w:color w:val="auto"/>
                <w:spacing w:val="43"/>
                <w:sz w:val="24"/>
                <w:szCs w:val="24"/>
              </w:rPr>
              <w:t>银行产品营销</w:t>
            </w:r>
            <w:r>
              <w:rPr>
                <w:rFonts w:hint="eastAsia" w:ascii="仿宋_GB2312" w:hAnsi="仿宋_GB2312" w:eastAsia="仿宋_GB2312" w:cs="仿宋_GB2312"/>
                <w:color w:val="auto"/>
                <w:sz w:val="24"/>
                <w:szCs w:val="24"/>
              </w:rPr>
              <w:t>等知识。</w:t>
            </w: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pacing w:val="-9"/>
                <w:sz w:val="24"/>
                <w:szCs w:val="24"/>
              </w:rPr>
            </w:pPr>
            <w:r>
              <w:rPr>
                <w:rFonts w:hint="eastAsia" w:ascii="仿宋_GB2312" w:hAnsi="仿宋_GB2312" w:eastAsia="仿宋_GB2312" w:cs="仿宋_GB2312"/>
                <w:color w:val="auto"/>
                <w:spacing w:val="-9"/>
                <w:sz w:val="24"/>
                <w:szCs w:val="24"/>
              </w:rPr>
              <w:t>有一次以上国赛执裁经历或从事金融类专业教学五年以上</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副教授（或有行业从业经历的讲师）及以上</w:t>
            </w:r>
          </w:p>
        </w:tc>
        <w:tc>
          <w:tcPr>
            <w:tcW w:w="674" w:type="dxa"/>
            <w:tcBorders>
              <w:top w:val="single" w:color="000000" w:sz="4" w:space="0"/>
              <w:left w:val="single" w:color="000000" w:sz="4" w:space="0"/>
              <w:bottom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center"/>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w w:val="100"/>
                <w:sz w:val="24"/>
                <w:szCs w:val="24"/>
                <w:lang w:val="en-US" w:eastAsia="zh-CN"/>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2" w:hRule="atLeast"/>
          <w:jc w:val="center"/>
        </w:trPr>
        <w:tc>
          <w:tcPr>
            <w:tcW w:w="662" w:type="dxa"/>
            <w:tcBorders>
              <w:top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w w:val="100"/>
                <w:sz w:val="24"/>
                <w:szCs w:val="24"/>
              </w:rPr>
              <w:t>2</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pacing w:val="-9"/>
                <w:sz w:val="24"/>
                <w:szCs w:val="24"/>
              </w:rPr>
            </w:pPr>
            <w:r>
              <w:rPr>
                <w:rFonts w:hint="eastAsia" w:ascii="仿宋_GB2312" w:hAnsi="仿宋_GB2312" w:eastAsia="仿宋_GB2312" w:cs="仿宋_GB2312"/>
                <w:color w:val="auto"/>
                <w:spacing w:val="-9"/>
                <w:sz w:val="24"/>
                <w:szCs w:val="24"/>
              </w:rPr>
              <w:t>现场技术人</w:t>
            </w:r>
            <w:r>
              <w:rPr>
                <w:rFonts w:hint="eastAsia" w:ascii="仿宋_GB2312" w:hAnsi="仿宋_GB2312" w:eastAsia="仿宋_GB2312" w:cs="仿宋_GB2312"/>
                <w:color w:val="auto"/>
                <w:spacing w:val="-9"/>
                <w:sz w:val="24"/>
                <w:szCs w:val="24"/>
                <w:lang w:eastAsia="zh-CN"/>
              </w:rPr>
              <w:t>员（</w:t>
            </w:r>
            <w:r>
              <w:rPr>
                <w:rFonts w:hint="eastAsia" w:ascii="仿宋_GB2312" w:hAnsi="仿宋_GB2312" w:eastAsia="仿宋_GB2312" w:cs="仿宋_GB2312"/>
                <w:color w:val="auto"/>
                <w:spacing w:val="-9"/>
                <w:sz w:val="24"/>
                <w:szCs w:val="24"/>
              </w:rPr>
              <w:t>计算机专业）</w:t>
            </w:r>
          </w:p>
        </w:tc>
        <w:tc>
          <w:tcPr>
            <w:tcW w:w="2466"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pacing w:val="-9"/>
                <w:sz w:val="24"/>
                <w:szCs w:val="24"/>
              </w:rPr>
            </w:pPr>
            <w:r>
              <w:rPr>
                <w:rFonts w:hint="eastAsia" w:ascii="仿宋_GB2312" w:hAnsi="仿宋_GB2312" w:eastAsia="仿宋_GB2312" w:cs="仿宋_GB2312"/>
                <w:color w:val="auto"/>
                <w:spacing w:val="-9"/>
                <w:sz w:val="24"/>
                <w:szCs w:val="24"/>
              </w:rPr>
              <w:t>熟悉软件平台，能解决网络、计算机发生的突发问题。</w:t>
            </w: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pacing w:val="-9"/>
                <w:sz w:val="24"/>
                <w:szCs w:val="24"/>
              </w:rPr>
            </w:pPr>
            <w:r>
              <w:rPr>
                <w:rFonts w:hint="eastAsia" w:ascii="仿宋_GB2312" w:hAnsi="仿宋_GB2312" w:eastAsia="仿宋_GB2312" w:cs="仿宋_GB2312"/>
                <w:color w:val="auto"/>
                <w:spacing w:val="-9"/>
                <w:sz w:val="24"/>
                <w:szCs w:val="24"/>
              </w:rPr>
              <w:t>从事计算机相关专业教学三年以上</w:t>
            </w:r>
          </w:p>
        </w:tc>
        <w:tc>
          <w:tcPr>
            <w:tcW w:w="197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pacing w:val="-9"/>
                <w:sz w:val="24"/>
                <w:szCs w:val="24"/>
              </w:rPr>
            </w:pPr>
            <w:r>
              <w:rPr>
                <w:rFonts w:hint="eastAsia" w:ascii="仿宋_GB2312" w:hAnsi="仿宋_GB2312" w:eastAsia="仿宋_GB2312" w:cs="仿宋_GB2312"/>
                <w:color w:val="auto"/>
                <w:spacing w:val="-9"/>
                <w:sz w:val="24"/>
                <w:szCs w:val="24"/>
              </w:rPr>
              <w:t>工程师、讲师及以上级别</w:t>
            </w:r>
          </w:p>
        </w:tc>
        <w:tc>
          <w:tcPr>
            <w:tcW w:w="674" w:type="dxa"/>
            <w:tcBorders>
              <w:top w:val="single" w:color="000000" w:sz="4" w:space="0"/>
              <w:left w:val="single" w:color="000000" w:sz="4" w:space="0"/>
              <w:bottom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center"/>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w w:val="100"/>
                <w:sz w:val="24"/>
                <w:szCs w:val="24"/>
                <w:lang w:val="en-US" w:eastAsia="zh-CN"/>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6" w:hRule="atLeast"/>
          <w:jc w:val="center"/>
        </w:trPr>
        <w:tc>
          <w:tcPr>
            <w:tcW w:w="662" w:type="dxa"/>
            <w:tcBorders>
              <w:top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0" w:firstLineChars="0"/>
              <w:jc w:val="center"/>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裁判与技术人员总人</w:t>
            </w:r>
            <w:r>
              <w:rPr>
                <w:rFonts w:hint="eastAsia" w:ascii="仿宋_GB2312" w:hAnsi="仿宋_GB2312" w:eastAsia="仿宋_GB2312" w:cs="仿宋_GB2312"/>
                <w:b/>
                <w:color w:val="auto"/>
                <w:w w:val="99"/>
                <w:sz w:val="24"/>
                <w:szCs w:val="24"/>
              </w:rPr>
              <w:t>数</w:t>
            </w:r>
          </w:p>
        </w:tc>
        <w:tc>
          <w:tcPr>
            <w:tcW w:w="7776" w:type="dxa"/>
            <w:gridSpan w:val="5"/>
            <w:tcBorders>
              <w:top w:val="single" w:color="000000" w:sz="4" w:space="0"/>
              <w:left w:val="single" w:color="000000" w:sz="4" w:space="0"/>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105" w:leftChars="50" w:right="105" w:rightChars="50" w:firstLine="0" w:firstLineChars="0"/>
              <w:jc w:val="both"/>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9"/>
                <w:sz w:val="24"/>
                <w:szCs w:val="24"/>
              </w:rPr>
              <w:t>大赛裁判组设裁判长1名，负责主持各裁判人员工作，另设分项裁判人员</w:t>
            </w:r>
            <w:r>
              <w:rPr>
                <w:rFonts w:hint="eastAsia" w:ascii="仿宋_GB2312" w:hAnsi="仿宋_GB2312" w:eastAsia="仿宋_GB2312" w:cs="仿宋_GB2312"/>
                <w:color w:val="auto"/>
                <w:spacing w:val="-9"/>
                <w:sz w:val="24"/>
                <w:szCs w:val="24"/>
                <w:lang w:val="en-US" w:eastAsia="zh-CN"/>
              </w:rPr>
              <w:t>25</w:t>
            </w:r>
            <w:r>
              <w:rPr>
                <w:rFonts w:hint="eastAsia" w:ascii="仿宋_GB2312" w:hAnsi="仿宋_GB2312" w:eastAsia="仿宋_GB2312" w:cs="仿宋_GB2312"/>
                <w:color w:val="auto"/>
                <w:spacing w:val="-9"/>
                <w:sz w:val="24"/>
                <w:szCs w:val="24"/>
              </w:rPr>
              <w:t>名（其中含检录裁判1名，加密裁判</w:t>
            </w:r>
            <w:r>
              <w:rPr>
                <w:rFonts w:hint="eastAsia" w:ascii="仿宋_GB2312" w:hAnsi="仿宋_GB2312" w:eastAsia="仿宋_GB2312" w:cs="仿宋_GB2312"/>
                <w:color w:val="auto"/>
                <w:spacing w:val="-9"/>
                <w:sz w:val="24"/>
                <w:szCs w:val="24"/>
                <w:lang w:val="en-US" w:eastAsia="zh-CN"/>
              </w:rPr>
              <w:t>8</w:t>
            </w:r>
            <w:r>
              <w:rPr>
                <w:rFonts w:hint="eastAsia" w:ascii="仿宋_GB2312" w:hAnsi="仿宋_GB2312" w:eastAsia="仿宋_GB2312" w:cs="仿宋_GB2312"/>
                <w:color w:val="auto"/>
                <w:spacing w:val="-9"/>
                <w:sz w:val="24"/>
                <w:szCs w:val="24"/>
              </w:rPr>
              <w:t>名），现场技术人员</w:t>
            </w:r>
            <w:r>
              <w:rPr>
                <w:rFonts w:hint="eastAsia" w:ascii="仿宋_GB2312" w:hAnsi="仿宋_GB2312" w:eastAsia="仿宋_GB2312" w:cs="仿宋_GB2312"/>
                <w:color w:val="auto"/>
                <w:spacing w:val="-9"/>
                <w:sz w:val="24"/>
                <w:szCs w:val="24"/>
                <w:lang w:val="en-US" w:eastAsia="zh-CN"/>
              </w:rPr>
              <w:t>12</w:t>
            </w:r>
            <w:r>
              <w:rPr>
                <w:rFonts w:hint="eastAsia" w:ascii="仿宋_GB2312" w:hAnsi="仿宋_GB2312" w:eastAsia="仿宋_GB2312" w:cs="仿宋_GB2312"/>
                <w:color w:val="auto"/>
                <w:spacing w:val="-9"/>
                <w:sz w:val="24"/>
                <w:szCs w:val="24"/>
              </w:rPr>
              <w:t>名。根据技能赛项的需要，另配裁判助理若干名。</w:t>
            </w:r>
          </w:p>
        </w:tc>
      </w:tr>
    </w:tbl>
    <w:p>
      <w:pPr>
        <w:pStyle w:val="4"/>
        <w:keepNext/>
        <w:keepLines/>
        <w:pageBreakBefore w:val="0"/>
        <w:widowControl w:val="0"/>
        <w:numPr>
          <w:ilvl w:val="1"/>
          <w:numId w:val="0"/>
        </w:numPr>
        <w:kinsoku/>
        <w:wordWrap/>
        <w:overflowPunct/>
        <w:topLinePunct w:val="0"/>
        <w:autoSpaceDE/>
        <w:autoSpaceDN/>
        <w:bidi w:val="0"/>
        <w:adjustRightInd w:val="0"/>
        <w:snapToGrid w:val="0"/>
        <w:spacing w:before="0" w:after="0" w:line="360" w:lineRule="auto"/>
        <w:ind w:left="0" w:leftChars="0" w:right="0" w:firstLine="546" w:firstLineChars="200"/>
        <w:jc w:val="both"/>
        <w:textAlignment w:val="auto"/>
        <w:outlineLvl w:val="9"/>
        <w:rPr>
          <w:rFonts w:hint="eastAsia" w:ascii="仿宋_GB2312" w:hAnsi="仿宋_GB2312" w:eastAsia="仿宋_GB2312" w:cs="仿宋_GB2312"/>
          <w:b w:val="0"/>
          <w:color w:val="auto"/>
          <w:spacing w:val="-9"/>
          <w:kern w:val="0"/>
          <w:sz w:val="28"/>
          <w:szCs w:val="28"/>
          <w:lang w:val="en-US" w:bidi="ar-SA"/>
        </w:rPr>
      </w:pPr>
      <w:bookmarkStart w:id="30" w:name="_Toc28143"/>
      <w:bookmarkStart w:id="31" w:name="_Toc8869"/>
      <w:bookmarkStart w:id="32" w:name="_Toc22026"/>
      <w:bookmarkStart w:id="33" w:name="_Toc19638"/>
      <w:bookmarkStart w:id="34" w:name="_Toc17926"/>
      <w:r>
        <w:rPr>
          <w:rFonts w:hint="eastAsia" w:ascii="楷体" w:hAnsi="楷体" w:eastAsia="楷体" w:cs="楷体"/>
          <w:bCs/>
          <w:color w:val="auto"/>
          <w:spacing w:val="-4"/>
          <w:sz w:val="28"/>
          <w:szCs w:val="28"/>
          <w:highlight w:val="none"/>
          <w:lang w:val="en-US" w:bidi="ar-SA"/>
        </w:rPr>
        <w:t>（七）成绩复核</w:t>
      </w:r>
      <w:bookmarkEnd w:id="30"/>
      <w:bookmarkEnd w:id="31"/>
      <w:bookmarkEnd w:id="32"/>
      <w:bookmarkEnd w:id="33"/>
      <w:bookmarkEnd w:id="34"/>
    </w:p>
    <w:p>
      <w:pPr>
        <w:pStyle w:val="4"/>
        <w:keepNext/>
        <w:keepLines/>
        <w:numPr>
          <w:ilvl w:val="1"/>
          <w:numId w:val="0"/>
        </w:numPr>
        <w:adjustRightInd w:val="0"/>
        <w:snapToGrid w:val="0"/>
        <w:spacing w:before="0" w:after="0" w:line="360" w:lineRule="auto"/>
        <w:ind w:left="0" w:leftChars="0" w:firstLine="524" w:firstLineChars="200"/>
        <w:rPr>
          <w:rFonts w:hint="eastAsia" w:ascii="仿宋_GB2312" w:hAnsi="仿宋_GB2312" w:eastAsia="仿宋_GB2312" w:cs="仿宋_GB2312"/>
          <w:b w:val="0"/>
          <w:spacing w:val="0"/>
          <w:sz w:val="28"/>
          <w:szCs w:val="28"/>
          <w:lang w:val="en-US" w:bidi="ar-SA"/>
        </w:rPr>
      </w:pPr>
      <w:r>
        <w:rPr>
          <w:rFonts w:hint="eastAsia" w:ascii="仿宋_GB2312" w:hAnsi="仿宋_GB2312" w:eastAsia="仿宋_GB2312" w:cs="仿宋_GB2312"/>
          <w:b w:val="0"/>
          <w:color w:val="auto"/>
          <w:spacing w:val="-9"/>
          <w:kern w:val="0"/>
          <w:sz w:val="28"/>
          <w:szCs w:val="28"/>
          <w:lang w:val="en-US" w:bidi="ar-SA"/>
        </w:rPr>
        <w:t>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w:t>
      </w:r>
      <w:r>
        <w:rPr>
          <w:rFonts w:hint="eastAsia" w:ascii="仿宋_GB2312" w:hAnsi="仿宋_GB2312" w:eastAsia="仿宋_GB2312" w:cs="仿宋_GB2312"/>
          <w:b w:val="0"/>
          <w:color w:val="auto"/>
          <w:kern w:val="2"/>
          <w:sz w:val="28"/>
          <w:szCs w:val="28"/>
          <w:lang w:val="en-US" w:bidi="ar-SA"/>
        </w:rPr>
        <w:t>进行复核。</w:t>
      </w:r>
    </w:p>
    <w:p>
      <w:pPr>
        <w:pStyle w:val="4"/>
        <w:keepNext/>
        <w:keepLines/>
        <w:numPr>
          <w:ilvl w:val="1"/>
          <w:numId w:val="0"/>
        </w:numPr>
        <w:adjustRightInd w:val="0"/>
        <w:snapToGrid w:val="0"/>
        <w:spacing w:before="0" w:after="0" w:line="360" w:lineRule="auto"/>
        <w:ind w:left="0" w:leftChars="0" w:firstLine="560" w:firstLineChars="200"/>
        <w:rPr>
          <w:rFonts w:hint="eastAsia" w:ascii="仿宋_GB2312" w:hAnsi="仿宋_GB2312" w:eastAsia="仿宋_GB2312" w:cs="仿宋_GB2312"/>
          <w:b w:val="0"/>
          <w:sz w:val="28"/>
          <w:szCs w:val="28"/>
          <w:lang w:val="en-US" w:bidi="ar-SA"/>
        </w:rPr>
      </w:pPr>
      <w:r>
        <w:rPr>
          <w:rFonts w:hint="eastAsia" w:ascii="仿宋_GB2312" w:hAnsi="仿宋_GB2312" w:eastAsia="仿宋_GB2312" w:cs="仿宋_GB2312"/>
          <w:b w:val="0"/>
          <w:color w:val="auto"/>
          <w:spacing w:val="0"/>
          <w:sz w:val="28"/>
          <w:szCs w:val="28"/>
          <w:lang w:val="en-US" w:bidi="ar-SA"/>
        </w:rPr>
        <w:t>竞赛成绩复核无误后，经裁判长、监督组签字后进行公示。公示时间为</w:t>
      </w:r>
      <w:r>
        <w:rPr>
          <w:rFonts w:hint="eastAsia" w:ascii="仿宋_GB2312" w:hAnsi="仿宋_GB2312" w:eastAsia="仿宋_GB2312" w:cs="仿宋_GB2312"/>
          <w:b w:val="0"/>
          <w:color w:val="auto"/>
          <w:sz w:val="28"/>
          <w:szCs w:val="28"/>
          <w:lang w:val="en-US" w:bidi="ar-SA"/>
        </w:rPr>
        <w:t>2</w:t>
      </w:r>
      <w:r>
        <w:rPr>
          <w:rFonts w:hint="eastAsia" w:ascii="仿宋_GB2312" w:hAnsi="仿宋_GB2312" w:eastAsia="仿宋_GB2312" w:cs="仿宋_GB2312"/>
          <w:b w:val="0"/>
          <w:color w:val="auto"/>
          <w:spacing w:val="0"/>
          <w:sz w:val="28"/>
          <w:szCs w:val="28"/>
          <w:lang w:val="en-US" w:bidi="ar-SA"/>
        </w:rPr>
        <w:t>小时。成绩公示无异议后，由</w:t>
      </w:r>
      <w:r>
        <w:rPr>
          <w:rFonts w:hint="eastAsia" w:ascii="仿宋_GB2312" w:hAnsi="仿宋_GB2312" w:eastAsia="仿宋_GB2312" w:cs="仿宋_GB2312"/>
          <w:b w:val="0"/>
          <w:color w:val="auto"/>
          <w:spacing w:val="0"/>
          <w:sz w:val="28"/>
          <w:szCs w:val="28"/>
          <w:lang w:val="en-US" w:eastAsia="zh-CN" w:bidi="ar-SA"/>
        </w:rPr>
        <w:t>裁判</w:t>
      </w:r>
      <w:r>
        <w:rPr>
          <w:rFonts w:hint="eastAsia" w:ascii="仿宋_GB2312" w:hAnsi="仿宋_GB2312" w:eastAsia="仿宋_GB2312" w:cs="仿宋_GB2312"/>
          <w:b w:val="0"/>
          <w:color w:val="auto"/>
          <w:spacing w:val="0"/>
          <w:sz w:val="28"/>
          <w:szCs w:val="28"/>
          <w:lang w:val="en-US" w:bidi="ar-SA"/>
        </w:rPr>
        <w:t>长和监督</w:t>
      </w:r>
      <w:r>
        <w:rPr>
          <w:rFonts w:hint="eastAsia" w:ascii="仿宋_GB2312" w:hAnsi="仿宋_GB2312" w:eastAsia="仿宋_GB2312" w:cs="仿宋_GB2312"/>
          <w:b w:val="0"/>
          <w:color w:val="auto"/>
          <w:spacing w:val="0"/>
          <w:sz w:val="28"/>
          <w:szCs w:val="28"/>
          <w:lang w:val="en-US" w:eastAsia="zh-CN" w:bidi="ar-SA"/>
        </w:rPr>
        <w:t>仲裁</w:t>
      </w:r>
      <w:r>
        <w:rPr>
          <w:rFonts w:hint="eastAsia" w:ascii="仿宋_GB2312" w:hAnsi="仿宋_GB2312" w:eastAsia="仿宋_GB2312" w:cs="仿宋_GB2312"/>
          <w:b w:val="0"/>
          <w:color w:val="auto"/>
          <w:spacing w:val="0"/>
          <w:sz w:val="28"/>
          <w:szCs w:val="28"/>
          <w:lang w:val="en-US" w:bidi="ar-SA"/>
        </w:rPr>
        <w:t>组长在</w:t>
      </w:r>
      <w:r>
        <w:rPr>
          <w:rFonts w:hint="eastAsia" w:ascii="仿宋_GB2312" w:hAnsi="仿宋_GB2312" w:eastAsia="仿宋_GB2312" w:cs="仿宋_GB2312"/>
          <w:b w:val="0"/>
          <w:color w:val="auto"/>
          <w:spacing w:val="0"/>
          <w:sz w:val="28"/>
          <w:szCs w:val="28"/>
          <w:lang w:val="en-US" w:eastAsia="zh-CN" w:bidi="ar-SA"/>
        </w:rPr>
        <w:t>系统导出</w:t>
      </w:r>
      <w:r>
        <w:rPr>
          <w:rFonts w:hint="eastAsia" w:ascii="仿宋_GB2312" w:hAnsi="仿宋_GB2312" w:eastAsia="仿宋_GB2312" w:cs="仿宋_GB2312"/>
          <w:b w:val="0"/>
          <w:color w:val="auto"/>
          <w:spacing w:val="0"/>
          <w:sz w:val="28"/>
          <w:szCs w:val="28"/>
          <w:lang w:val="en-US" w:bidi="ar-SA"/>
        </w:rPr>
        <w:t>成绩单上签字，并在闭赛式上</w:t>
      </w:r>
      <w:r>
        <w:rPr>
          <w:rFonts w:hint="eastAsia" w:ascii="仿宋_GB2312" w:hAnsi="仿宋_GB2312" w:eastAsia="仿宋_GB2312" w:cs="仿宋_GB2312"/>
          <w:b w:val="0"/>
          <w:color w:val="auto"/>
          <w:spacing w:val="0"/>
          <w:sz w:val="28"/>
          <w:szCs w:val="28"/>
          <w:lang w:val="en-US" w:eastAsia="zh-CN" w:bidi="ar-SA"/>
        </w:rPr>
        <w:t>宣布并颁发证书</w:t>
      </w:r>
      <w:r>
        <w:rPr>
          <w:rFonts w:hint="eastAsia" w:ascii="仿宋_GB2312" w:hAnsi="仿宋_GB2312" w:eastAsia="仿宋_GB2312" w:cs="仿宋_GB2312"/>
          <w:b w:val="0"/>
          <w:color w:val="auto"/>
          <w:spacing w:val="0"/>
          <w:sz w:val="28"/>
          <w:szCs w:val="28"/>
          <w:lang w:val="en-US" w:bidi="ar-SA"/>
        </w:rPr>
        <w:t>。</w:t>
      </w:r>
    </w:p>
    <w:p>
      <w:pPr>
        <w:numPr>
          <w:ilvl w:val="-1"/>
          <w:numId w:val="0"/>
        </w:numPr>
        <w:spacing w:before="156" w:beforeLines="50" w:after="156" w:afterLines="50"/>
        <w:ind w:left="420" w:leftChars="200" w:firstLine="0" w:firstLineChars="0"/>
        <w:outlineLvl w:val="0"/>
        <w:rPr>
          <w:rFonts w:hint="eastAsia" w:ascii="黑体" w:eastAsia="黑体"/>
          <w:sz w:val="32"/>
          <w:szCs w:val="32"/>
          <w:lang w:val="en-US" w:eastAsia="zh-CN"/>
        </w:rPr>
      </w:pPr>
      <w:r>
        <w:rPr>
          <w:rFonts w:hint="eastAsia" w:ascii="黑体" w:eastAsia="黑体"/>
          <w:sz w:val="32"/>
          <w:szCs w:val="32"/>
          <w:lang w:val="en-US" w:eastAsia="zh-CN"/>
        </w:rPr>
        <w:t>十二、</w:t>
      </w:r>
      <w:r>
        <w:rPr>
          <w:rFonts w:hint="eastAsia" w:ascii="黑体" w:eastAsia="黑体"/>
          <w:sz w:val="32"/>
          <w:szCs w:val="32"/>
        </w:rPr>
        <w:t>奖项设</w:t>
      </w:r>
      <w:r>
        <w:rPr>
          <w:rFonts w:hint="eastAsia" w:ascii="黑体" w:eastAsia="黑体"/>
          <w:sz w:val="32"/>
          <w:szCs w:val="32"/>
          <w:lang w:val="en-US" w:eastAsia="zh-CN"/>
        </w:rPr>
        <w:t>置</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1.本赛项只设参赛团体奖；</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2.按团体设一、二、三等奖。其中一等奖为参赛队总数的10%，二等奖为参赛队总数的20%，三等奖为参赛队总数的30%（小数点后四舍五入）。如果团队总成绩相同，以“</w:t>
      </w:r>
      <w:r>
        <w:rPr>
          <w:rFonts w:hint="eastAsia" w:ascii="仿宋_GB2312" w:hAnsi="仿宋_GB2312" w:eastAsia="仿宋_GB2312" w:cs="仿宋_GB2312"/>
          <w:sz w:val="28"/>
          <w:szCs w:val="28"/>
          <w:lang w:val="en-US" w:eastAsia="zh-CN"/>
        </w:rPr>
        <w:t>数字金融业务</w:t>
      </w:r>
      <w:r>
        <w:rPr>
          <w:rFonts w:hint="eastAsia" w:ascii="仿宋_GB2312" w:hAnsi="仿宋_GB2312" w:eastAsia="仿宋_GB2312" w:cs="仿宋_GB2312"/>
          <w:sz w:val="28"/>
          <w:szCs w:val="28"/>
        </w:rPr>
        <w:t>”赛项成绩高低排序，如果“</w:t>
      </w:r>
      <w:r>
        <w:rPr>
          <w:rFonts w:hint="eastAsia" w:ascii="仿宋_GB2312" w:hAnsi="仿宋_GB2312" w:eastAsia="仿宋_GB2312" w:cs="仿宋_GB2312"/>
          <w:sz w:val="28"/>
          <w:szCs w:val="28"/>
          <w:lang w:val="en-US" w:eastAsia="zh-CN"/>
        </w:rPr>
        <w:t>数字金融业务</w:t>
      </w:r>
      <w:r>
        <w:rPr>
          <w:rFonts w:hint="eastAsia" w:ascii="仿宋_GB2312" w:hAnsi="仿宋_GB2312" w:eastAsia="仿宋_GB2312" w:cs="仿宋_GB2312"/>
          <w:sz w:val="28"/>
          <w:szCs w:val="28"/>
        </w:rPr>
        <w:t>”赛项成绩相同，以“金融</w:t>
      </w:r>
      <w:r>
        <w:rPr>
          <w:rFonts w:hint="eastAsia" w:ascii="仿宋_GB2312" w:hAnsi="仿宋_GB2312" w:eastAsia="仿宋_GB2312" w:cs="仿宋_GB2312"/>
          <w:sz w:val="28"/>
          <w:szCs w:val="28"/>
          <w:lang w:val="en-US" w:eastAsia="zh-CN"/>
        </w:rPr>
        <w:t>综合技能</w:t>
      </w:r>
      <w:r>
        <w:rPr>
          <w:rFonts w:hint="eastAsia" w:ascii="仿宋_GB2312" w:hAnsi="仿宋_GB2312" w:eastAsia="仿宋_GB2312" w:cs="仿宋_GB2312"/>
          <w:sz w:val="28"/>
          <w:szCs w:val="28"/>
        </w:rPr>
        <w:t>”赛项成绩高低排序，如果“金融</w:t>
      </w:r>
      <w:r>
        <w:rPr>
          <w:rFonts w:hint="eastAsia" w:ascii="仿宋_GB2312" w:hAnsi="仿宋_GB2312" w:eastAsia="仿宋_GB2312" w:cs="仿宋_GB2312"/>
          <w:sz w:val="28"/>
          <w:szCs w:val="28"/>
          <w:lang w:val="en-US" w:eastAsia="zh-CN"/>
        </w:rPr>
        <w:t>综合技能</w:t>
      </w:r>
      <w:r>
        <w:rPr>
          <w:rFonts w:hint="eastAsia" w:ascii="仿宋_GB2312" w:hAnsi="仿宋_GB2312" w:eastAsia="仿宋_GB2312" w:cs="仿宋_GB2312"/>
          <w:sz w:val="28"/>
          <w:szCs w:val="28"/>
        </w:rPr>
        <w:t>”赛项成绩仍相同，以“金融职业素养”赛项成绩高低排序。</w:t>
      </w:r>
    </w:p>
    <w:p>
      <w:pPr>
        <w:pStyle w:val="8"/>
        <w:numPr>
          <w:ilvl w:val="0"/>
          <w:numId w:val="0"/>
        </w:numPr>
        <w:adjustRightInd w:val="0"/>
        <w:snapToGrid w:val="0"/>
        <w:spacing w:line="360" w:lineRule="auto"/>
        <w:ind w:right="0" w:rightChars="0" w:firstLine="560" w:firstLineChars="200"/>
        <w:rPr>
          <w:rFonts w:hint="eastAsia"/>
          <w:sz w:val="28"/>
          <w:szCs w:val="28"/>
          <w:lang w:eastAsia="zh-CN"/>
        </w:rPr>
      </w:pPr>
      <w:r>
        <w:rPr>
          <w:rFonts w:hint="eastAsia" w:ascii="仿宋_GB2312" w:hAnsi="仿宋_GB2312" w:eastAsia="仿宋_GB2312" w:cs="仿宋_GB2312"/>
          <w:sz w:val="28"/>
          <w:szCs w:val="28"/>
        </w:rPr>
        <w:t>3.获团体一等奖的参赛队指导老师获得“优秀指导老师奖”。</w:t>
      </w:r>
    </w:p>
    <w:p>
      <w:pPr>
        <w:spacing w:before="156" w:beforeLines="50" w:after="156" w:afterLines="50"/>
        <w:ind w:firstLine="640" w:firstLineChars="200"/>
        <w:outlineLvl w:val="0"/>
        <w:rPr>
          <w:rFonts w:hint="eastAsia" w:ascii="黑体" w:eastAsia="黑体"/>
          <w:sz w:val="32"/>
          <w:szCs w:val="32"/>
        </w:rPr>
      </w:pPr>
      <w:r>
        <w:rPr>
          <w:rFonts w:hint="eastAsia" w:ascii="黑体" w:eastAsia="黑体"/>
          <w:sz w:val="32"/>
          <w:szCs w:val="32"/>
        </w:rPr>
        <w:t>十</w:t>
      </w:r>
      <w:r>
        <w:rPr>
          <w:rFonts w:hint="eastAsia" w:ascii="黑体" w:eastAsia="黑体"/>
          <w:sz w:val="32"/>
          <w:szCs w:val="32"/>
          <w:lang w:val="en-US" w:eastAsia="zh-CN"/>
        </w:rPr>
        <w:t>三</w:t>
      </w:r>
      <w:r>
        <w:rPr>
          <w:rFonts w:hint="eastAsia" w:ascii="黑体" w:eastAsia="黑体"/>
          <w:sz w:val="32"/>
          <w:szCs w:val="32"/>
        </w:rPr>
        <w:t>、赛项预案</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为保障技能竞赛有序进行，保障参赛选手的身体健康与生命财产安全，应对各种突发事件。根据《全国职业院校技能大赛安全管理规定》，结合赛场实际，特制定如下应急预案：</w:t>
      </w:r>
    </w:p>
    <w:p>
      <w:pPr>
        <w:adjustRightInd w:val="0"/>
        <w:snapToGrid w:val="0"/>
        <w:spacing w:line="360" w:lineRule="auto"/>
        <w:ind w:right="0" w:rightChars="0" w:firstLine="546" w:firstLineChars="200"/>
        <w:jc w:val="left"/>
        <w:rPr>
          <w:rFonts w:hint="eastAsia" w:ascii="仿宋_GB2312" w:hAnsi="仿宋_GB2312" w:eastAsia="仿宋_GB2312" w:cs="仿宋_GB2312"/>
          <w:b/>
          <w:bCs/>
          <w:sz w:val="28"/>
          <w:szCs w:val="28"/>
          <w:highlight w:val="none"/>
        </w:rPr>
      </w:pPr>
      <w:r>
        <w:rPr>
          <w:rFonts w:hint="eastAsia" w:ascii="楷体" w:hAnsi="楷体" w:eastAsia="楷体" w:cs="楷体"/>
          <w:b/>
          <w:bCs/>
          <w:spacing w:val="-4"/>
          <w:sz w:val="28"/>
          <w:szCs w:val="28"/>
          <w:highlight w:val="none"/>
        </w:rPr>
        <w:t>（一）指导思想</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预防为主，防范各类安全事故发生，并在事故突发时能够快速、及时、妥善处置，最大限度降低安全事故危害。</w:t>
      </w:r>
    </w:p>
    <w:p>
      <w:pPr>
        <w:adjustRightInd w:val="0"/>
        <w:snapToGrid w:val="0"/>
        <w:spacing w:line="360" w:lineRule="auto"/>
        <w:ind w:right="0" w:rightChars="0" w:firstLine="546" w:firstLineChars="200"/>
        <w:jc w:val="left"/>
        <w:rPr>
          <w:rFonts w:hint="eastAsia" w:ascii="仿宋_GB2312" w:hAnsi="仿宋_GB2312" w:eastAsia="仿宋_GB2312" w:cs="仿宋_GB2312"/>
          <w:sz w:val="28"/>
          <w:szCs w:val="28"/>
          <w:highlight w:val="none"/>
        </w:rPr>
      </w:pPr>
      <w:r>
        <w:rPr>
          <w:rFonts w:hint="eastAsia" w:ascii="楷体" w:hAnsi="楷体" w:eastAsia="楷体" w:cs="楷体"/>
          <w:b/>
          <w:bCs/>
          <w:spacing w:val="-4"/>
          <w:sz w:val="28"/>
          <w:szCs w:val="28"/>
          <w:highlight w:val="none"/>
        </w:rPr>
        <w:t>（二）工作原则</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以人为本、快速反应。突发事件的处置实行首遇责任制，首先发现情况的工作人员必须在第一时间报告相关领导，相关人员到达现场后及时做好交接，并积极协同处理有关事务，直至事态基本平稳后方可离开。应急处置的各环节都要坚持把保障健康和生命安全作为首要任务。在此前提下，工作人员迅速按照应急预案开展工作，最大限度地减少危害和影响。</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服从指挥、分工负责。在赛项执委会的领导下，由赛项专家联合承办校成立赛项应急保障小组，负责现场控制、后勤保障、医疗救援、信息资料等，工作人员各负其责、齐心协力、密切配合、共同做好突发事件的处置工作。</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３．防范为主、上下联动。加强宣传，提高自我防范、自救互救等能力。突发事件发生后，要在专业人员的指导下，采取切实可行的措施控制现场、维护秩序，防止事故的蔓延和扩大。</w:t>
      </w:r>
    </w:p>
    <w:p>
      <w:pPr>
        <w:adjustRightInd w:val="0"/>
        <w:snapToGrid w:val="0"/>
        <w:spacing w:line="360" w:lineRule="auto"/>
        <w:ind w:right="0" w:rightChars="0"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（三）组织管理</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赛场成立赛项安全工作领导小组，赛项安全工作领导小组总揽赛项安全工作，建立与公安、交通、消防、卫生、防疫、食品等相关职能部门的协调预警机制。赛项安全工作领导小组下设七个工作专班：疫情防控专班、现场安保专班、车辆安全专班、食品安全专班、特情处置专班、设备保障专班、电力保障专班。明确人员分工，落实岗位职责，着力抓细抓实。各工作专班负责制定出符合相关部门要求的《疫情防控应急预案》《伤害事故紧急处理预案》《车辆安全措施应急预案》《食品安全措施应急预案》《消防安全事故紧急处理预案》《设备事故紧急处理预案》《电力供应事故紧急处理预案》《地震灾害紧急处理预案》和《疾病防控应急预案》等预案。赛前组织相关工作组人员进行培训，提高他们的业务素质和处置能力，同时举行火灾、地震和洪水等灾害的应急疏散演练，以及相关设施设备的安全检查。</w:t>
      </w:r>
    </w:p>
    <w:p>
      <w:pPr>
        <w:adjustRightInd w:val="0"/>
        <w:snapToGrid w:val="0"/>
        <w:spacing w:line="360" w:lineRule="auto"/>
        <w:ind w:right="0" w:rightChars="0" w:firstLine="546" w:firstLineChars="200"/>
        <w:jc w:val="left"/>
        <w:rPr>
          <w:rFonts w:hint="eastAsia" w:ascii="仿宋_GB2312" w:hAnsi="仿宋_GB2312" w:eastAsia="仿宋_GB2312" w:cs="仿宋_GB2312"/>
          <w:sz w:val="28"/>
          <w:szCs w:val="28"/>
          <w:highlight w:val="none"/>
        </w:rPr>
      </w:pPr>
      <w:r>
        <w:rPr>
          <w:rFonts w:hint="eastAsia" w:ascii="楷体" w:hAnsi="楷体" w:eastAsia="楷体" w:cs="楷体"/>
          <w:b/>
          <w:bCs/>
          <w:spacing w:val="-4"/>
          <w:sz w:val="28"/>
          <w:szCs w:val="28"/>
          <w:highlight w:val="none"/>
        </w:rPr>
        <w:t>（四）疫情防控</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根据当地疫情防控部门的工作要求，制定科学可行的防控方案，并征得当地疫情防控部门的同意方可进行相关工作。</w:t>
      </w:r>
    </w:p>
    <w:p>
      <w:pPr>
        <w:adjustRightInd w:val="0"/>
        <w:snapToGrid w:val="0"/>
        <w:spacing w:line="360" w:lineRule="auto"/>
        <w:ind w:right="0" w:rightChars="0" w:firstLine="546" w:firstLineChars="200"/>
        <w:jc w:val="left"/>
        <w:rPr>
          <w:rFonts w:hint="eastAsia" w:ascii="仿宋_GB2312" w:hAnsi="仿宋_GB2312" w:eastAsia="仿宋_GB2312" w:cs="仿宋_GB2312"/>
          <w:sz w:val="28"/>
          <w:szCs w:val="28"/>
          <w:highlight w:val="none"/>
        </w:rPr>
      </w:pPr>
      <w:r>
        <w:rPr>
          <w:rFonts w:hint="eastAsia" w:ascii="楷体" w:hAnsi="楷体" w:eastAsia="楷体" w:cs="楷体"/>
          <w:b/>
          <w:bCs/>
          <w:spacing w:val="-4"/>
          <w:sz w:val="28"/>
          <w:szCs w:val="28"/>
          <w:highlight w:val="none"/>
        </w:rPr>
        <w:t>（五）竞赛期间应急工作处理预案</w:t>
      </w:r>
    </w:p>
    <w:p>
      <w:pPr>
        <w:adjustRightInd w:val="0"/>
        <w:snapToGrid w:val="0"/>
        <w:spacing w:line="360" w:lineRule="auto"/>
        <w:ind w:right="0" w:rightChars="0" w:firstLine="562" w:firstLineChars="200"/>
        <w:jc w:val="left"/>
        <w:rPr>
          <w:rFonts w:hint="default" w:ascii="仿宋_GB2312" w:hAnsi="仿宋_GB2312" w:eastAsia="仿宋_GB2312" w:cs="仿宋_GB2312"/>
          <w:b/>
          <w:bCs/>
          <w:sz w:val="28"/>
          <w:szCs w:val="28"/>
          <w:highlight w:val="none"/>
        </w:rPr>
      </w:pPr>
      <w:r>
        <w:rPr>
          <w:rFonts w:hint="default" w:ascii="仿宋_GB2312" w:hAnsi="仿宋_GB2312" w:eastAsia="仿宋_GB2312" w:cs="仿宋_GB2312"/>
          <w:b/>
          <w:bCs/>
          <w:sz w:val="28"/>
          <w:szCs w:val="28"/>
          <w:highlight w:val="none"/>
        </w:rPr>
        <w:t>1.突发停水、停电应急预案</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联系人及联系电话：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承办学校后勤部门要关注停水、停电信息公告，并与供电、供水部门协商，保证竞赛期间供电、供水正常。工作人员定期巡检供水、供电设施，保障安全运行。遇停电及时启用自备电源（或租赁发电机）供电，保证竞赛设备用电正常。</w:t>
      </w:r>
    </w:p>
    <w:p>
      <w:pPr>
        <w:adjustRightInd w:val="0"/>
        <w:snapToGrid w:val="0"/>
        <w:spacing w:line="360" w:lineRule="auto"/>
        <w:ind w:right="0" w:rightChars="0" w:firstLine="562" w:firstLineChars="200"/>
        <w:jc w:val="left"/>
        <w:rPr>
          <w:rFonts w:hint="eastAsia" w:ascii="仿宋_GB2312" w:hAnsi="仿宋_GB2312" w:eastAsia="仿宋_GB2312" w:cs="仿宋_GB2312"/>
          <w:sz w:val="28"/>
          <w:szCs w:val="28"/>
          <w:highlight w:val="none"/>
        </w:rPr>
      </w:pPr>
      <w:r>
        <w:rPr>
          <w:rFonts w:hint="default" w:ascii="仿宋_GB2312" w:hAnsi="仿宋_GB2312" w:eastAsia="仿宋_GB2312" w:cs="仿宋_GB2312"/>
          <w:b/>
          <w:bCs/>
          <w:sz w:val="28"/>
          <w:szCs w:val="28"/>
          <w:highlight w:val="none"/>
        </w:rPr>
        <w:t>2.突发网络故障应急预案</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联系人及联系电话：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承办学校信息中心或相关部门要保障网络正常运行，安排技术人员及时处理网络中断等问题。</w:t>
      </w:r>
    </w:p>
    <w:p>
      <w:pPr>
        <w:adjustRightInd w:val="0"/>
        <w:snapToGrid w:val="0"/>
        <w:spacing w:line="360" w:lineRule="auto"/>
        <w:ind w:right="0" w:rightChars="0" w:firstLine="562" w:firstLineChars="200"/>
        <w:jc w:val="left"/>
        <w:rPr>
          <w:rFonts w:hint="default" w:ascii="仿宋_GB2312" w:hAnsi="仿宋_GB2312" w:eastAsia="仿宋_GB2312" w:cs="仿宋_GB2312"/>
          <w:b/>
          <w:bCs/>
          <w:sz w:val="28"/>
          <w:szCs w:val="28"/>
          <w:highlight w:val="none"/>
        </w:rPr>
      </w:pPr>
      <w:r>
        <w:rPr>
          <w:rFonts w:hint="default" w:ascii="仿宋_GB2312" w:hAnsi="仿宋_GB2312" w:eastAsia="仿宋_GB2312" w:cs="仿宋_GB2312"/>
          <w:b/>
          <w:bCs/>
          <w:sz w:val="28"/>
          <w:szCs w:val="28"/>
          <w:highlight w:val="none"/>
        </w:rPr>
        <w:t>3.参赛选手发病、受伤或意外伤害及食品安全事故应急预案</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联系人及联系电话：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竞赛期间，承办校医务室安排2名医生在现场值班，学校安排一辆车随时待命，及时处理选手发病医疗问题，如病情严重，应协助参赛队领队立即将病人送医院治疗。对于突现低温天气，校医须采取防寒措施，准备必要防寒药物与物资。</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比赛过程中，如发生人员受伤、触电等伤害，现场医务人员要给予及时的救助；发生较严重的伤害及故障，除现场及时采取救助措施外，要及时通知救护中心到赛区实施抢救；发生意外伤害及故障，后勤保卫部门和承办学校办公室要共同维护好现场秩序。比赛过程中使用的设备设施，如发生故障，必须请专业人员进行故障排除。参赛选手不得自行对设备故障进行排除，以免发生意外。如参赛设备短时间可排除故障，选手可继续使用此设备参赛，如故障不能及时排除，应及时更换设备，保证选手的正常参赛。</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注重食品安全，防止发生食物中毒事件。发现选手有呕吐、腹胀、腹泻等症状，立即送往学校医疗保健室或医院诊疗。发生三人以上同时出现腹胀、腹泻、出疹等症状，应立即报告学校领导小组，及时采取有效控制措施，同时迅速查明原因，并封存可能导致食物中毒的食品及其原料、工具等，以备卫生部门检验。</w:t>
      </w:r>
    </w:p>
    <w:p>
      <w:pPr>
        <w:adjustRightInd w:val="0"/>
        <w:snapToGrid w:val="0"/>
        <w:spacing w:line="360" w:lineRule="auto"/>
        <w:ind w:right="0" w:rightChars="0" w:firstLine="562" w:firstLineChars="200"/>
        <w:jc w:val="left"/>
        <w:rPr>
          <w:rFonts w:hint="eastAsia" w:ascii="仿宋_GB2312" w:hAnsi="仿宋_GB2312" w:eastAsia="仿宋_GB2312" w:cs="仿宋_GB2312"/>
          <w:sz w:val="28"/>
          <w:szCs w:val="28"/>
          <w:highlight w:val="none"/>
        </w:rPr>
      </w:pPr>
      <w:r>
        <w:rPr>
          <w:rFonts w:hint="default" w:ascii="仿宋_GB2312" w:hAnsi="仿宋_GB2312" w:eastAsia="仿宋_GB2312" w:cs="仿宋_GB2312"/>
          <w:b/>
          <w:bCs/>
          <w:sz w:val="28"/>
          <w:szCs w:val="28"/>
          <w:highlight w:val="none"/>
        </w:rPr>
        <w:t>4.突发治安事件应急预案</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联系人及联系电话：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规范竞赛秩序，加强法制和安全教育，增强选手法制意识。对发现有情绪异常、行为过激的选手或发现有可能引发矛盾激化的苗头，及时与竞赛领队沟通联系，做好劝导和化解工作。发生暴力事件，第一发现人应立即向应急保障小组联系人和承办学校保卫处报告，保安人员应立即赶赴现场，同时全力保护好现场和附近的其他人员，情况紧急应向公安机关和上级报告。</w:t>
      </w:r>
    </w:p>
    <w:p>
      <w:pPr>
        <w:adjustRightInd w:val="0"/>
        <w:snapToGrid w:val="0"/>
        <w:spacing w:line="360" w:lineRule="auto"/>
        <w:ind w:right="0" w:rightChars="0" w:firstLine="562" w:firstLineChars="200"/>
        <w:jc w:val="left"/>
        <w:rPr>
          <w:rFonts w:hint="eastAsia" w:ascii="仿宋_GB2312" w:hAnsi="仿宋_GB2312" w:eastAsia="仿宋_GB2312" w:cs="仿宋_GB2312"/>
          <w:sz w:val="28"/>
          <w:szCs w:val="28"/>
          <w:highlight w:val="none"/>
        </w:rPr>
      </w:pPr>
      <w:r>
        <w:rPr>
          <w:rFonts w:hint="default" w:ascii="仿宋_GB2312" w:hAnsi="仿宋_GB2312" w:eastAsia="仿宋_GB2312" w:cs="仿宋_GB2312"/>
          <w:b/>
          <w:bCs/>
          <w:sz w:val="28"/>
          <w:szCs w:val="28"/>
          <w:highlight w:val="none"/>
        </w:rPr>
        <w:t>5.火情应急预案</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联系人及联系电话：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发现火情，现场值班人员及老师应及时通知保卫部门和值班校领导，并积极组织扑救。安全领导小组人员应立即赶赴现场，根据火情状况，决定是否组织人员疏散，是否切断电源和光源，以及决定是否需要报警。</w:t>
      </w:r>
    </w:p>
    <w:p>
      <w:pPr>
        <w:adjustRightInd w:val="0"/>
        <w:snapToGrid w:val="0"/>
        <w:spacing w:line="360" w:lineRule="auto"/>
        <w:ind w:right="0" w:rightChars="0" w:firstLine="546" w:firstLineChars="200"/>
        <w:jc w:val="left"/>
        <w:rPr>
          <w:rFonts w:hint="eastAsia" w:ascii="仿宋_GB2312" w:hAnsi="仿宋_GB2312" w:eastAsia="仿宋_GB2312" w:cs="仿宋_GB2312"/>
          <w:sz w:val="28"/>
          <w:szCs w:val="28"/>
          <w:highlight w:val="none"/>
        </w:rPr>
      </w:pPr>
      <w:r>
        <w:rPr>
          <w:rFonts w:hint="eastAsia" w:ascii="楷体" w:hAnsi="楷体" w:eastAsia="楷体" w:cs="楷体"/>
          <w:b/>
          <w:bCs/>
          <w:spacing w:val="-4"/>
          <w:sz w:val="28"/>
          <w:szCs w:val="28"/>
          <w:highlight w:val="none"/>
        </w:rPr>
        <w:t>（六）应急电话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火警：119匪警：110急救：120</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承办学校保卫处值班电话：</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承办学校物业项目部经理：</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承办学校物业安保队队长：</w:t>
      </w:r>
    </w:p>
    <w:p>
      <w:pPr>
        <w:pStyle w:val="8"/>
        <w:adjustRightInd w:val="0"/>
        <w:snapToGrid w:val="0"/>
        <w:spacing w:line="360" w:lineRule="auto"/>
        <w:ind w:left="0" w:leftChars="0" w:right="0" w:rightChars="0" w:firstLine="560" w:firstLineChars="200"/>
        <w:rPr>
          <w:sz w:val="28"/>
          <w:szCs w:val="28"/>
        </w:rPr>
      </w:pPr>
      <w:r>
        <w:rPr>
          <w:rFonts w:hint="eastAsia" w:ascii="仿宋_GB2312" w:hAnsi="仿宋_GB2312" w:eastAsia="仿宋_GB2312" w:cs="仿宋_GB2312"/>
          <w:sz w:val="28"/>
          <w:szCs w:val="28"/>
          <w:highlight w:val="none"/>
        </w:rPr>
        <w:t>承办学校院办公室：</w:t>
      </w:r>
    </w:p>
    <w:p>
      <w:pPr>
        <w:numPr>
          <w:ilvl w:val="0"/>
          <w:numId w:val="6"/>
        </w:numPr>
        <w:spacing w:before="156" w:beforeLines="50" w:after="156" w:afterLines="50"/>
        <w:ind w:firstLine="640" w:firstLineChars="200"/>
        <w:outlineLvl w:val="0"/>
        <w:rPr>
          <w:rFonts w:hint="eastAsia" w:ascii="黑体" w:eastAsia="黑体"/>
          <w:sz w:val="32"/>
          <w:szCs w:val="32"/>
        </w:rPr>
      </w:pPr>
      <w:r>
        <w:rPr>
          <w:rFonts w:hint="eastAsia" w:ascii="黑体" w:eastAsia="黑体"/>
          <w:sz w:val="32"/>
          <w:szCs w:val="32"/>
        </w:rPr>
        <w:t>竞赛须知</w:t>
      </w:r>
    </w:p>
    <w:p>
      <w:pPr>
        <w:adjustRightInd w:val="0"/>
        <w:snapToGrid w:val="0"/>
        <w:spacing w:line="360" w:lineRule="auto"/>
        <w:ind w:right="0" w:rightChars="0"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（一）参赛队须知</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1.参赛队名称统一使用各院代表队名称，不得使用其他组织或团体名称；不接受跨院组队报名；</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2.参赛队按照大赛赛程安排，凭赛项组委会颁发的相关证件参加竞赛及相关活动；</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3.参赛队须为参赛师生购买人身意外保险。</w:t>
      </w:r>
    </w:p>
    <w:p>
      <w:pPr>
        <w:adjustRightInd w:val="0"/>
        <w:snapToGrid w:val="0"/>
        <w:spacing w:line="360" w:lineRule="auto"/>
        <w:ind w:right="0" w:rightChars="0"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（二）指导教师须知</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1.领队、指导教师须认真阅读《202</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年全国职业院校技能大赛制度汇编》领会相关文件精神，对选手竞赛进行专业指导和心理疏导；</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2.领队、指导教师须严格遵守赛场纪律，服从裁判，文明竞赛；</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3.竞赛期间，指导教师不得进入候赛室、备赛室或赛场内进行指导；</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4.正式报名的领队、指导教师原则上不得更换；</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5.竞赛期间各参赛队不得以任何形式向裁判透露参赛信息或沟通竞赛事宜，有关竞赛所有问题须由领队按规范要求向赛项执委会或仲裁组反映或协商。</w:t>
      </w:r>
    </w:p>
    <w:p>
      <w:pPr>
        <w:adjustRightInd w:val="0"/>
        <w:snapToGrid w:val="0"/>
        <w:spacing w:line="360" w:lineRule="auto"/>
        <w:ind w:right="0" w:rightChars="0"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（三）参赛选手须知</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1.参赛选手需在报到时提供学生证明及身份证明；</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2.参赛选手凭参赛证进入竞赛场地，竞赛期间应始终佩戴参赛证以备检查；</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3.参赛选手不允许携带任何纸质资料、通讯工具和电子设备进入竞赛场地；</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4.参赛选手在候赛室、备赛室和赛场内须服从工作人员调度，遵守赛场纪律，不得擅自离开指定区域；</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在竞赛过程中，如有疑问，参赛选手应举手示意，裁判人员应予以解答，但选手不得对业务技能相关知识和操作询问裁判人员。确因计算机软件或硬件及竞赛用具故障，致使操作无法继续的，经裁判人员确认同意后，予以启用备用设备；</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6.每一项竞赛环节，未经裁判员许可，参赛选手不得中途离场；比赛时间到，参赛选手应立即停止比赛。现场裁判可根据违规实际采取处罚措施；</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7.参赛选手每环节竞赛结束，离开赛场时不得带走任何赛场物品；</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8.参赛选手应尊重裁判，尊重对手，应服从裁判组的评判。对竞赛过程或结果如有异议，应由领队按规范程序和方式向赛项仲裁工作组提出；</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9.参赛选手在竞赛期间未经赛项组委会批准，不得随意接受任何单位或个人进行的与竞赛相关的采访，不得私自公开竞赛的相关情况和资料。</w:t>
      </w:r>
    </w:p>
    <w:p>
      <w:pPr>
        <w:adjustRightInd w:val="0"/>
        <w:snapToGrid w:val="0"/>
        <w:spacing w:line="360" w:lineRule="auto"/>
        <w:ind w:right="0" w:rightChars="0" w:firstLine="546" w:firstLineChars="200"/>
        <w:jc w:val="left"/>
        <w:rPr>
          <w:rFonts w:hint="eastAsia" w:ascii="楷体" w:hAnsi="楷体" w:eastAsia="楷体" w:cs="楷体"/>
          <w:b/>
          <w:bCs/>
          <w:spacing w:val="-4"/>
          <w:sz w:val="28"/>
          <w:szCs w:val="28"/>
          <w:highlight w:val="none"/>
        </w:rPr>
      </w:pPr>
      <w:r>
        <w:rPr>
          <w:rFonts w:hint="eastAsia" w:ascii="楷体" w:hAnsi="楷体" w:eastAsia="楷体" w:cs="楷体"/>
          <w:b/>
          <w:bCs/>
          <w:spacing w:val="-4"/>
          <w:sz w:val="28"/>
          <w:szCs w:val="28"/>
          <w:highlight w:val="none"/>
        </w:rPr>
        <w:t>（</w:t>
      </w:r>
      <w:r>
        <w:rPr>
          <w:rFonts w:hint="eastAsia" w:ascii="楷体" w:hAnsi="楷体" w:eastAsia="楷体" w:cs="楷体"/>
          <w:b/>
          <w:bCs/>
          <w:spacing w:val="-4"/>
          <w:sz w:val="28"/>
          <w:szCs w:val="28"/>
          <w:highlight w:val="none"/>
          <w:lang w:val="en-US" w:eastAsia="zh-CN"/>
        </w:rPr>
        <w:t>四</w:t>
      </w:r>
      <w:r>
        <w:rPr>
          <w:rFonts w:hint="eastAsia" w:ascii="楷体" w:hAnsi="楷体" w:eastAsia="楷体" w:cs="楷体"/>
          <w:b/>
          <w:bCs/>
          <w:spacing w:val="-4"/>
          <w:sz w:val="28"/>
          <w:szCs w:val="28"/>
          <w:highlight w:val="none"/>
        </w:rPr>
        <w:t>）工作人员须知</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1.大赛期间，工作人员须佩戴组委会核发的证件进入赛场，并遵守赛场相关规定。新闻媒体等进入赛场必须经执委会允许，由专人陪同并且听从现场工作人员的安排和管理，不能影响比赛进行；</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2.在选手比赛时，工作人员及赛场所有人员必须保持安静，不得随意走动、喧哗、提示或出现对选手有影响的动作。除经特别允许，工作人员进入赛场后请关闭手机；</w:t>
      </w:r>
    </w:p>
    <w:p>
      <w:pPr>
        <w:pStyle w:val="8"/>
        <w:numPr>
          <w:ilvl w:val="0"/>
          <w:numId w:val="0"/>
        </w:numPr>
        <w:adjustRightInd w:val="0"/>
        <w:snapToGrid w:val="0"/>
        <w:spacing w:line="360" w:lineRule="auto"/>
        <w:ind w:right="0" w:rightChars="0" w:firstLine="560" w:firstLineChars="200"/>
        <w:rPr>
          <w:sz w:val="28"/>
          <w:szCs w:val="28"/>
        </w:rPr>
      </w:pPr>
      <w:r>
        <w:rPr>
          <w:rFonts w:hint="eastAsia" w:ascii="仿宋_GB2312" w:hAnsi="仿宋_GB2312" w:eastAsia="仿宋_GB2312" w:cs="仿宋_GB2312"/>
          <w:sz w:val="28"/>
          <w:szCs w:val="28"/>
          <w:highlight w:val="none"/>
        </w:rPr>
        <w:t>3.比赛期间，由赛项执委会负责处理突发事件，由仲裁组人员处理申诉事项，由监督人员对裁判人员和现场评分员进行监督，工作人员不得私自处理有关选手比赛成绩的相关事件。</w:t>
      </w:r>
    </w:p>
    <w:p>
      <w:pPr>
        <w:spacing w:before="156" w:beforeLines="50" w:after="156" w:afterLines="50"/>
        <w:ind w:right="-92" w:rightChars="-44" w:firstLine="640" w:firstLineChars="200"/>
        <w:outlineLvl w:val="0"/>
        <w:rPr>
          <w:rFonts w:hint="eastAsia" w:ascii="黑体" w:eastAsia="黑体"/>
          <w:sz w:val="32"/>
          <w:szCs w:val="32"/>
        </w:rPr>
      </w:pPr>
      <w:r>
        <w:rPr>
          <w:rFonts w:hint="eastAsia" w:ascii="黑体" w:eastAsia="黑体"/>
          <w:sz w:val="32"/>
          <w:szCs w:val="32"/>
        </w:rPr>
        <w:t>十</w:t>
      </w:r>
      <w:r>
        <w:rPr>
          <w:rFonts w:hint="eastAsia" w:ascii="黑体" w:eastAsia="黑体"/>
          <w:sz w:val="32"/>
          <w:szCs w:val="32"/>
          <w:lang w:val="en-US" w:eastAsia="zh-CN"/>
        </w:rPr>
        <w:t>五</w:t>
      </w:r>
      <w:r>
        <w:rPr>
          <w:rFonts w:hint="eastAsia" w:ascii="黑体" w:eastAsia="黑体"/>
          <w:sz w:val="32"/>
          <w:szCs w:val="32"/>
        </w:rPr>
        <w:t>、申诉与仲裁</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各参赛队对不符合大赛和赛项规程规定的仪器、设备、工装、材料、物件、计算机软硬件、竞赛使用工具、用品，竞赛执裁、赛场管理，以及工作人员的不规范行为等，可向赛项监督仲裁组提出申诉。申诉主体为参赛队领队。</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2.监督仲裁人员的姓名、联系方式、工作地点应该在竞赛期间向参赛队和工作人员公示，确保信息畅通并同时接受大众监督。</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3.申诉启动时，由参赛队领队向赛项监督仲裁组递交亲笔签字同意的书面申诉报告。申诉报告应对申诉事件的现象、发生时间、涉及人员、申诉依据等进行充分、实事求是的叙述。非书面申诉不予受理。</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4.提出申诉的时间应在比赛结束后（选手赛场比赛内容全部完成）2小时内。超过时效不予受理。</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赛项监督仲裁组在接到申诉报告后的2小时内组织复议，并及时将复议结果以书面形式告知申诉方。申诉方对复议结果仍有异议，可由参赛队领队向赛区仲裁委员会提出申诉。赛区仲裁委员会的仲裁结果为最终结果。</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6.仲裁结果由申诉人签收，不能代收，如在约定时间和地点申诉人离开，视为自行放弃申诉。</w:t>
      </w:r>
    </w:p>
    <w:p>
      <w:pPr>
        <w:adjustRightInd w:val="0"/>
        <w:snapToGrid w:val="0"/>
        <w:spacing w:line="360" w:lineRule="auto"/>
        <w:ind w:right="0" w:righ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7.申诉方可随时提出放弃申诉。</w:t>
      </w:r>
    </w:p>
    <w:p>
      <w:pPr>
        <w:pStyle w:val="8"/>
        <w:adjustRightInd w:val="0"/>
        <w:snapToGrid w:val="0"/>
        <w:spacing w:line="360" w:lineRule="auto"/>
        <w:ind w:left="0" w:leftChars="0" w:right="0" w:rightChars="0" w:firstLine="560" w:firstLineChars="200"/>
        <w:rPr>
          <w:sz w:val="28"/>
          <w:szCs w:val="28"/>
        </w:rPr>
      </w:pPr>
      <w:r>
        <w:rPr>
          <w:rFonts w:hint="eastAsia" w:ascii="仿宋_GB2312" w:hAnsi="仿宋_GB2312" w:eastAsia="仿宋_GB2312" w:cs="仿宋_GB2312"/>
          <w:sz w:val="28"/>
          <w:szCs w:val="28"/>
        </w:rPr>
        <w:t>8.申诉方必须提供真实的申诉信息并严格遵守申诉程序，不得以任何理由采取过激行为扰乱赛场秩序。</w:t>
      </w:r>
    </w:p>
    <w:p>
      <w:pPr>
        <w:spacing w:before="156" w:beforeLines="50" w:after="156" w:afterLines="50"/>
        <w:ind w:firstLine="640" w:firstLineChars="200"/>
        <w:outlineLvl w:val="0"/>
        <w:rPr>
          <w:rFonts w:hint="eastAsia" w:ascii="黑体" w:eastAsia="黑体"/>
          <w:sz w:val="32"/>
          <w:szCs w:val="32"/>
        </w:rPr>
      </w:pPr>
      <w:r>
        <w:rPr>
          <w:rFonts w:hint="eastAsia" w:ascii="黑体" w:eastAsia="黑体"/>
          <w:sz w:val="32"/>
          <w:szCs w:val="32"/>
        </w:rPr>
        <w:t>十</w:t>
      </w:r>
      <w:r>
        <w:rPr>
          <w:rFonts w:hint="eastAsia" w:ascii="黑体" w:eastAsia="黑体"/>
          <w:sz w:val="32"/>
          <w:szCs w:val="32"/>
          <w:lang w:val="en-US" w:eastAsia="zh-CN"/>
        </w:rPr>
        <w:t>六</w:t>
      </w:r>
      <w:r>
        <w:rPr>
          <w:rFonts w:hint="eastAsia" w:ascii="黑体" w:eastAsia="黑体"/>
          <w:sz w:val="32"/>
          <w:szCs w:val="32"/>
        </w:rPr>
        <w:t>、竞赛观摩</w:t>
      </w:r>
    </w:p>
    <w:p>
      <w:pPr>
        <w:pStyle w:val="8"/>
        <w:adjustRightInd w:val="0"/>
        <w:snapToGrid w:val="0"/>
        <w:spacing w:line="360" w:lineRule="auto"/>
        <w:ind w:left="0" w:leftChars="0" w:firstLine="560" w:firstLineChars="200"/>
        <w:rPr>
          <w:sz w:val="28"/>
          <w:szCs w:val="28"/>
        </w:rPr>
      </w:pPr>
      <w:r>
        <w:rPr>
          <w:rFonts w:hint="eastAsia" w:ascii="仿宋_GB2312" w:hAnsi="仿宋_GB2312" w:eastAsia="仿宋_GB2312" w:cs="仿宋_GB2312"/>
          <w:sz w:val="28"/>
          <w:szCs w:val="28"/>
        </w:rPr>
        <w:t>本赛项可根据具体情况在赛场内设置观摩区域和参观路线，向纳入大赛健康管理人员开放，为保证大赛顺利进行，在观摩时请遵循相关规则。</w:t>
      </w:r>
    </w:p>
    <w:p>
      <w:pPr>
        <w:numPr>
          <w:ilvl w:val="0"/>
          <w:numId w:val="7"/>
        </w:numPr>
        <w:spacing w:before="156" w:beforeLines="50" w:after="156" w:afterLines="50"/>
        <w:ind w:firstLine="640" w:firstLineChars="200"/>
        <w:outlineLvl w:val="0"/>
        <w:rPr>
          <w:rFonts w:hint="eastAsia" w:ascii="黑体" w:eastAsia="黑体"/>
          <w:sz w:val="32"/>
          <w:szCs w:val="32"/>
        </w:rPr>
      </w:pPr>
      <w:r>
        <w:rPr>
          <w:rFonts w:hint="eastAsia" w:ascii="黑体" w:eastAsia="黑体"/>
          <w:sz w:val="32"/>
          <w:szCs w:val="32"/>
        </w:rPr>
        <w:t>竞赛直播</w:t>
      </w:r>
    </w:p>
    <w:p>
      <w:pPr>
        <w:pStyle w:val="8"/>
        <w:numPr>
          <w:ilvl w:val="0"/>
          <w:numId w:val="0"/>
        </w:numPr>
        <w:adjustRightInd w:val="0"/>
        <w:snapToGrid w:val="0"/>
        <w:spacing w:line="360" w:lineRule="auto"/>
        <w:ind w:firstLine="560" w:firstLineChars="200"/>
        <w:rPr>
          <w:sz w:val="28"/>
          <w:szCs w:val="28"/>
        </w:rPr>
      </w:pPr>
      <w:r>
        <w:rPr>
          <w:rFonts w:hint="eastAsia" w:ascii="仿宋_GB2312" w:hAnsi="仿宋_GB2312" w:eastAsia="仿宋_GB2312" w:cs="仿宋_GB2312"/>
          <w:sz w:val="28"/>
          <w:szCs w:val="28"/>
        </w:rPr>
        <w:t>本赛项根据竞赛场地情况，在不影响参赛选手比赛的情况下由专业人员进行现场全程实况直播，报道大赛开赛式、大赛比赛现场情况、大赛颁奖情况、大赛闭赛式等。</w:t>
      </w:r>
    </w:p>
    <w:p>
      <w:pPr>
        <w:numPr>
          <w:ilvl w:val="0"/>
          <w:numId w:val="7"/>
        </w:numPr>
        <w:spacing w:before="156" w:beforeLines="50" w:after="156" w:afterLines="50"/>
        <w:ind w:left="0" w:leftChars="0" w:firstLine="640" w:firstLineChars="200"/>
        <w:outlineLvl w:val="0"/>
        <w:rPr>
          <w:rFonts w:hint="default" w:ascii="黑体" w:eastAsia="黑体"/>
          <w:sz w:val="32"/>
          <w:szCs w:val="32"/>
          <w:lang w:val="en-US"/>
        </w:rPr>
      </w:pPr>
      <w:r>
        <w:rPr>
          <w:rFonts w:hint="default" w:ascii="黑体" w:eastAsia="黑体"/>
          <w:sz w:val="32"/>
          <w:szCs w:val="32"/>
          <w:lang w:val="en-US"/>
        </w:rPr>
        <w:t>赛项成果</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12"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2"/>
          <w:sz w:val="28"/>
          <w:szCs w:val="28"/>
        </w:rPr>
        <w:t>通过竞赛，促进校企合作，引导企业参与赛项设计、提供技术支</w:t>
      </w:r>
      <w:r>
        <w:rPr>
          <w:rFonts w:hint="eastAsia" w:ascii="仿宋_GB2312" w:hAnsi="仿宋_GB2312" w:eastAsia="仿宋_GB2312" w:cs="仿宋_GB2312"/>
          <w:color w:val="auto"/>
          <w:spacing w:val="-11"/>
          <w:sz w:val="28"/>
          <w:szCs w:val="28"/>
        </w:rPr>
        <w:t>持和后援保障，推动工学结合人才培养模式的改革与创新，引导高职</w:t>
      </w:r>
      <w:r>
        <w:rPr>
          <w:rFonts w:hint="eastAsia" w:ascii="仿宋_GB2312" w:hAnsi="仿宋_GB2312" w:eastAsia="仿宋_GB2312" w:cs="仿宋_GB2312"/>
          <w:color w:val="auto"/>
          <w:spacing w:val="-3"/>
          <w:sz w:val="28"/>
          <w:szCs w:val="28"/>
        </w:rPr>
        <w:t>学校在行业发展的背景下的教学改革与专业建设。</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通过校企合作，将竞赛优秀选手竞赛实况集结成视频教材，将竞</w:t>
      </w:r>
      <w:r>
        <w:rPr>
          <w:rFonts w:hint="eastAsia" w:ascii="仿宋_GB2312" w:hAnsi="仿宋_GB2312" w:eastAsia="仿宋_GB2312" w:cs="仿宋_GB2312"/>
          <w:color w:val="auto"/>
          <w:spacing w:val="-9"/>
          <w:sz w:val="28"/>
          <w:szCs w:val="28"/>
        </w:rPr>
        <w:t>赛主要文件资料集结共享，将竞赛标准及各项细则集结共享，将这些</w:t>
      </w:r>
      <w:r>
        <w:rPr>
          <w:rFonts w:hint="eastAsia" w:ascii="仿宋_GB2312" w:hAnsi="仿宋_GB2312" w:eastAsia="仿宋_GB2312" w:cs="仿宋_GB2312"/>
          <w:color w:val="auto"/>
          <w:spacing w:val="-11"/>
          <w:sz w:val="28"/>
          <w:szCs w:val="28"/>
        </w:rPr>
        <w:t>竞赛成果转化为高职金融</w:t>
      </w:r>
      <w:r>
        <w:rPr>
          <w:rFonts w:hint="eastAsia" w:ascii="仿宋_GB2312" w:hAnsi="仿宋_GB2312" w:cs="仿宋_GB2312"/>
          <w:color w:val="auto"/>
          <w:spacing w:val="-11"/>
          <w:sz w:val="28"/>
          <w:szCs w:val="28"/>
          <w:lang w:val="en-US" w:eastAsia="zh-CN"/>
        </w:rPr>
        <w:t>类</w:t>
      </w:r>
      <w:r>
        <w:rPr>
          <w:rFonts w:hint="eastAsia" w:ascii="仿宋_GB2312" w:hAnsi="仿宋_GB2312" w:eastAsia="仿宋_GB2312" w:cs="仿宋_GB2312"/>
          <w:color w:val="auto"/>
          <w:spacing w:val="-11"/>
          <w:sz w:val="28"/>
          <w:szCs w:val="28"/>
        </w:rPr>
        <w:t>专业的教育教学资源。本赛项将在每年国赛</w:t>
      </w:r>
      <w:r>
        <w:rPr>
          <w:rFonts w:hint="eastAsia" w:ascii="仿宋_GB2312" w:hAnsi="仿宋_GB2312" w:eastAsia="仿宋_GB2312" w:cs="仿宋_GB2312"/>
          <w:color w:val="auto"/>
          <w:spacing w:val="-12"/>
          <w:sz w:val="28"/>
          <w:szCs w:val="28"/>
        </w:rPr>
        <w:t>竞赛基础上，对竞赛专用评分系统和训练内容进行优化升级，形成实</w:t>
      </w:r>
      <w:r>
        <w:rPr>
          <w:rFonts w:hint="eastAsia" w:ascii="仿宋_GB2312" w:hAnsi="仿宋_GB2312" w:eastAsia="仿宋_GB2312" w:cs="仿宋_GB2312"/>
          <w:color w:val="auto"/>
          <w:spacing w:val="-3"/>
          <w:sz w:val="28"/>
          <w:szCs w:val="28"/>
        </w:rPr>
        <w:t>训教学软件，实现竞赛软件到教学软件的转化。</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同时，将竞赛赛题及竞赛规程、相关业务技能训练方法编入国家规划教材及配套立体化教学资源中，提供免费训练账号，面向全国高等职业院校发行，实现竞赛任务到教学内容的转化。</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大赛资源成果转化方案</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赛项名称：</w:t>
      </w:r>
      <w:r>
        <w:rPr>
          <w:rFonts w:hint="eastAsia" w:ascii="仿宋_GB2312" w:hAnsi="仿宋_GB2312" w:cs="仿宋_GB2312"/>
          <w:color w:val="auto"/>
          <w:sz w:val="28"/>
          <w:szCs w:val="28"/>
          <w:lang w:eastAsia="zh-CN"/>
        </w:rPr>
        <w:t>智慧金融</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服务专业：金融</w:t>
      </w:r>
      <w:r>
        <w:rPr>
          <w:rFonts w:hint="eastAsia" w:ascii="仿宋_GB2312" w:hAnsi="仿宋_GB2312" w:eastAsia="仿宋_GB2312" w:cs="仿宋_GB2312"/>
          <w:color w:val="auto"/>
          <w:sz w:val="28"/>
          <w:szCs w:val="28"/>
          <w:lang w:eastAsia="zh-CN"/>
        </w:rPr>
        <w:t>服务与</w:t>
      </w:r>
      <w:r>
        <w:rPr>
          <w:rFonts w:hint="eastAsia" w:ascii="仿宋_GB2312" w:hAnsi="仿宋_GB2312" w:eastAsia="仿宋_GB2312" w:cs="仿宋_GB2312"/>
          <w:color w:val="auto"/>
          <w:sz w:val="28"/>
          <w:szCs w:val="28"/>
        </w:rPr>
        <w:t>管理、</w:t>
      </w:r>
      <w:r>
        <w:rPr>
          <w:rFonts w:hint="eastAsia" w:ascii="仿宋_GB2312" w:hAnsi="仿宋_GB2312" w:eastAsia="仿宋_GB2312" w:cs="仿宋_GB2312"/>
          <w:color w:val="auto"/>
          <w:sz w:val="28"/>
          <w:szCs w:val="28"/>
          <w:lang w:eastAsia="zh-CN"/>
        </w:rPr>
        <w:t>财富管理</w:t>
      </w:r>
      <w:r>
        <w:rPr>
          <w:rFonts w:hint="eastAsia" w:ascii="仿宋_GB2312" w:hAnsi="仿宋_GB2312" w:eastAsia="仿宋_GB2312" w:cs="仿宋_GB2312"/>
          <w:color w:val="auto"/>
          <w:sz w:val="28"/>
          <w:szCs w:val="28"/>
        </w:rPr>
        <w:t>、国际金融、</w:t>
      </w:r>
      <w:r>
        <w:rPr>
          <w:rFonts w:hint="eastAsia" w:ascii="仿宋_GB2312" w:hAnsi="仿宋_GB2312" w:eastAsia="仿宋_GB2312" w:cs="仿宋_GB2312"/>
          <w:color w:val="auto"/>
          <w:sz w:val="28"/>
          <w:szCs w:val="28"/>
          <w:lang w:eastAsia="zh-CN"/>
        </w:rPr>
        <w:t>金融科技应用</w:t>
      </w:r>
      <w:r>
        <w:rPr>
          <w:rFonts w:hint="eastAsia" w:ascii="仿宋_GB2312" w:hAnsi="仿宋_GB2312" w:eastAsia="仿宋_GB2312" w:cs="仿宋_GB2312"/>
          <w:color w:val="auto"/>
          <w:sz w:val="28"/>
          <w:szCs w:val="28"/>
        </w:rPr>
        <w:t>、农村金融</w:t>
      </w:r>
      <w:r>
        <w:rPr>
          <w:rFonts w:hint="eastAsia" w:ascii="仿宋_GB2312" w:hAnsi="仿宋_GB2312" w:cs="仿宋_GB2312"/>
          <w:color w:val="auto"/>
          <w:sz w:val="28"/>
          <w:szCs w:val="28"/>
          <w:lang w:eastAsia="zh-CN"/>
        </w:rPr>
        <w:t>、</w:t>
      </w:r>
      <w:r>
        <w:rPr>
          <w:rFonts w:hint="eastAsia" w:ascii="仿宋_GB2312" w:hAnsi="仿宋_GB2312" w:cs="仿宋_GB2312"/>
          <w:color w:val="auto"/>
          <w:sz w:val="28"/>
          <w:szCs w:val="28"/>
          <w:lang w:val="en-US" w:eastAsia="zh-CN"/>
        </w:rPr>
        <w:t>证券实务、保险实务</w:t>
      </w:r>
      <w:r>
        <w:rPr>
          <w:rFonts w:hint="eastAsia" w:ascii="仿宋_GB2312" w:hAnsi="仿宋_GB2312" w:eastAsia="仿宋_GB2312" w:cs="仿宋_GB2312"/>
          <w:color w:val="auto"/>
          <w:sz w:val="28"/>
          <w:szCs w:val="28"/>
        </w:rPr>
        <w:t>等</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承办单位：</w:t>
      </w:r>
      <w:r>
        <w:rPr>
          <w:rFonts w:hint="eastAsia" w:ascii="仿宋_GB2312" w:hAnsi="仿宋_GB2312" w:eastAsia="仿宋_GB2312" w:cs="仿宋_GB2312"/>
          <w:color w:val="auto"/>
          <w:sz w:val="28"/>
          <w:szCs w:val="28"/>
          <w:lang w:eastAsia="zh-CN"/>
        </w:rPr>
        <w:t>待定</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专家组长：</w:t>
      </w:r>
      <w:r>
        <w:rPr>
          <w:rFonts w:hint="eastAsia" w:ascii="仿宋_GB2312" w:hAnsi="仿宋_GB2312" w:eastAsia="仿宋_GB2312" w:cs="仿宋_GB2312"/>
          <w:color w:val="auto"/>
          <w:sz w:val="28"/>
          <w:szCs w:val="28"/>
          <w:lang w:eastAsia="zh-CN"/>
        </w:rPr>
        <w:t>待定</w:t>
      </w:r>
    </w:p>
    <w:tbl>
      <w:tblPr>
        <w:tblStyle w:val="16"/>
        <w:tblW w:w="8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50"/>
        <w:gridCol w:w="1435"/>
        <w:gridCol w:w="1625"/>
        <w:gridCol w:w="1366"/>
        <w:gridCol w:w="1422"/>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5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资源名称</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表现形式</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资源数量</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资源要求</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基本资源</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风采展示</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赛项宣传片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视频</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15分钟以上</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竞赛结束后2个月之内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1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风采展示片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视频</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10分钟以上</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竞赛结束后2个月之内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技能概要</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技能介绍</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技能要点</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评价指标</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文本</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3000字</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竞赛结束后2个月之内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教学资源</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专业教材</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文本</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电子教材</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1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技能训练指导书</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文本</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电子教材</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1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技能操作视频</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视频</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每个5分钟左右</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拓展资源</w:t>
            </w:r>
          </w:p>
        </w:tc>
        <w:tc>
          <w:tcPr>
            <w:tcW w:w="22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案例库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案例库</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64个操作案例</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22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素材资源库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资源库</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50个图像</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22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试题库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试题库</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600道题目</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22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衍生成果</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专利</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p>
        </w:tc>
        <w:tc>
          <w:tcPr>
            <w:tcW w:w="228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优秀选手访谈</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视频</w:t>
            </w:r>
          </w:p>
        </w:tc>
        <w:tc>
          <w:tcPr>
            <w:tcW w:w="1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每个5分钟左右</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竞赛结束后3个月之内</w:t>
            </w:r>
          </w:p>
        </w:tc>
      </w:tr>
    </w:tbl>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60" w:firstLineChars="200"/>
        <w:jc w:val="both"/>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注：1.衍生成果：是指基于本赛项而申报的专利、软件制作权等。</w:t>
      </w:r>
    </w:p>
    <w:p>
      <w:pPr>
        <w:pStyle w:val="10"/>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right="0" w:firstLine="548" w:firstLineChars="200"/>
        <w:jc w:val="both"/>
        <w:textAlignment w:val="auto"/>
        <w:outlineLvl w:val="9"/>
        <w:rPr>
          <w:rFonts w:hint="eastAsia" w:ascii="仿宋_GB2312" w:hAnsi="仿宋_GB2312" w:eastAsia="仿宋_GB2312" w:cs="仿宋_GB2312"/>
          <w:color w:val="auto"/>
          <w:spacing w:val="-7"/>
          <w:sz w:val="28"/>
          <w:szCs w:val="28"/>
        </w:rPr>
      </w:pPr>
      <w:r>
        <w:rPr>
          <w:rFonts w:hint="eastAsia" w:ascii="仿宋_GB2312" w:hAnsi="仿宋_GB2312" w:eastAsia="仿宋_GB2312" w:cs="仿宋_GB2312"/>
          <w:color w:val="auto"/>
          <w:spacing w:val="-3"/>
          <w:sz w:val="28"/>
          <w:szCs w:val="28"/>
        </w:rPr>
        <w:t>表现形式包</w:t>
      </w:r>
      <w:bookmarkStart w:id="35" w:name="_GoBack"/>
      <w:bookmarkEnd w:id="35"/>
      <w:r>
        <w:rPr>
          <w:rFonts w:hint="eastAsia" w:ascii="仿宋_GB2312" w:hAnsi="仿宋_GB2312" w:eastAsia="仿宋_GB2312" w:cs="仿宋_GB2312"/>
          <w:color w:val="auto"/>
          <w:spacing w:val="-3"/>
          <w:sz w:val="28"/>
          <w:szCs w:val="28"/>
        </w:rPr>
        <w:t>含文本文档、演示文稿、视频文件、</w:t>
      </w:r>
      <w:r>
        <w:rPr>
          <w:rFonts w:hint="eastAsia" w:ascii="仿宋_GB2312" w:hAnsi="仿宋_GB2312" w:eastAsia="仿宋_GB2312" w:cs="仿宋_GB2312"/>
          <w:color w:val="auto"/>
          <w:sz w:val="28"/>
          <w:szCs w:val="28"/>
        </w:rPr>
        <w:t>Flash</w:t>
      </w:r>
      <w:r>
        <w:rPr>
          <w:rFonts w:hint="eastAsia" w:ascii="仿宋_GB2312" w:hAnsi="仿宋_GB2312" w:eastAsia="仿宋_GB2312" w:cs="仿宋_GB2312"/>
          <w:color w:val="auto"/>
          <w:spacing w:val="-15"/>
          <w:sz w:val="28"/>
          <w:szCs w:val="28"/>
        </w:rPr>
        <w:t>文件、图形/</w:t>
      </w:r>
      <w:r>
        <w:rPr>
          <w:rFonts w:hint="eastAsia" w:ascii="仿宋_GB2312" w:hAnsi="仿宋_GB2312" w:eastAsia="仿宋_GB2312" w:cs="仿宋_GB2312"/>
          <w:color w:val="auto"/>
          <w:spacing w:val="-7"/>
          <w:sz w:val="28"/>
          <w:szCs w:val="28"/>
        </w:rPr>
        <w:t>图像素材和网页型资源。</w:t>
      </w:r>
    </w:p>
    <w:p>
      <w:pPr>
        <w:pStyle w:val="10"/>
        <w:autoSpaceDE w:val="0"/>
        <w:autoSpaceDN w:val="0"/>
        <w:adjustRightInd w:val="0"/>
        <w:snapToGrid w:val="0"/>
        <w:spacing w:before="0" w:line="360" w:lineRule="auto"/>
        <w:ind w:left="0" w:leftChars="0" w:firstLine="512"/>
        <w:outlineLvl w:val="9"/>
      </w:pPr>
      <w:r>
        <w:rPr>
          <w:rFonts w:hint="eastAsia" w:ascii="仿宋_GB2312" w:hAnsi="仿宋_GB2312" w:eastAsia="仿宋_GB2312" w:cs="仿宋_GB2312"/>
          <w:color w:val="auto"/>
          <w:spacing w:val="-12"/>
          <w:sz w:val="28"/>
          <w:szCs w:val="28"/>
        </w:rPr>
        <w:t>风采展示、技能概要为必须完成项，其他可以根据本赛项自行</w:t>
      </w:r>
      <w:r>
        <w:rPr>
          <w:rFonts w:hint="eastAsia" w:ascii="仿宋_GB2312" w:hAnsi="仿宋_GB2312" w:eastAsia="仿宋_GB2312" w:cs="仿宋_GB2312"/>
          <w:color w:val="auto"/>
          <w:spacing w:val="-1"/>
          <w:sz w:val="28"/>
          <w:szCs w:val="28"/>
        </w:rPr>
        <w:t>确定转化项目。</w:t>
      </w:r>
    </w:p>
    <w:p/>
    <w:sectPr>
      <w:footerReference r:id="rId4" w:type="default"/>
      <w:pgSz w:w="11906" w:h="16838"/>
      <w:pgMar w:top="1240" w:right="1800" w:bottom="1318"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231FB9-CFC7-4613-9C90-119725ECE23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95B047DB-AE8E-4717-B049-4F3C35FE9A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9BD0089-CED0-44BC-B6AC-2EDC895B9051}"/>
  </w:font>
  <w:font w:name="仿宋">
    <w:panose1 w:val="02010609060101010101"/>
    <w:charset w:val="86"/>
    <w:family w:val="modern"/>
    <w:pitch w:val="default"/>
    <w:sig w:usb0="800002BF" w:usb1="38CF7CFA" w:usb2="00000016" w:usb3="00000000" w:csb0="00040001" w:csb1="00000000"/>
    <w:embedRegular r:id="rId4" w:fontKey="{006F31ED-6EDC-4890-9281-7EF358A3D9BF}"/>
  </w:font>
  <w:font w:name="仿宋_GB2312">
    <w:panose1 w:val="02010609030101010101"/>
    <w:charset w:val="86"/>
    <w:family w:val="modern"/>
    <w:pitch w:val="default"/>
    <w:sig w:usb0="00000001" w:usb1="080E0000" w:usb2="00000000" w:usb3="00000000" w:csb0="00040000" w:csb1="00000000"/>
    <w:embedRegular r:id="rId5" w:fontKey="{AE61C18F-D693-43CE-8277-546C20989BC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6" w:fontKey="{D73B6D8D-535F-4288-9CDF-54F57B031554}"/>
  </w:font>
  <w:font w:name="Wingdings 2">
    <w:panose1 w:val="05020102010507070707"/>
    <w:charset w:val="00"/>
    <w:family w:val="auto"/>
    <w:pitch w:val="default"/>
    <w:sig w:usb0="00000000" w:usb1="00000000" w:usb2="00000000" w:usb3="00000000" w:csb0="80000000" w:csb1="00000000"/>
    <w:embedRegular r:id="rId7" w:fontKey="{E0C0039A-BD3B-467A-88F6-5E8942751C39}"/>
  </w:font>
  <w:font w:name="楷体">
    <w:panose1 w:val="02010609060101010101"/>
    <w:charset w:val="86"/>
    <w:family w:val="auto"/>
    <w:pitch w:val="default"/>
    <w:sig w:usb0="800002BF" w:usb1="38CF7CFA" w:usb2="00000016" w:usb3="00000000" w:csb0="00040001" w:csb1="00000000"/>
    <w:embedRegular r:id="rId8" w:fontKey="{4B24BCB7-65E2-4281-9131-D91AC429A238}"/>
  </w:font>
  <w:font w:name="微软雅黑">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31BAB3"/>
    <w:multiLevelType w:val="multilevel"/>
    <w:tmpl w:val="D631BAB3"/>
    <w:lvl w:ilvl="0" w:tentative="0">
      <w:start w:val="1"/>
      <w:numFmt w:val="decimal"/>
      <w:lvlText w:val="%1"/>
      <w:lvlJc w:val="left"/>
      <w:pPr>
        <w:ind w:left="432" w:hanging="432"/>
      </w:pPr>
      <w:rPr>
        <w:rFonts w:hint="default" w:ascii="宋体" w:hAnsi="宋体" w:eastAsia="宋体" w:cs="宋体"/>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isLgl/>
      <w:lvlText w:val="%1.%2.%3"/>
      <w:lvlJc w:val="left"/>
      <w:pPr>
        <w:ind w:left="720" w:hanging="720"/>
      </w:pPr>
      <w:rPr>
        <w:rFonts w:hint="default" w:ascii="宋体" w:hAnsi="宋体" w:eastAsia="宋体" w:cs="宋体"/>
      </w:rPr>
    </w:lvl>
    <w:lvl w:ilvl="3" w:tentative="0">
      <w:start w:val="1"/>
      <w:numFmt w:val="decimal"/>
      <w:lvlText w:val="%1.%2.%3.%4"/>
      <w:lvlJc w:val="left"/>
      <w:pPr>
        <w:ind w:left="1284" w:hanging="864"/>
      </w:pPr>
      <w:rPr>
        <w:rFonts w:hint="default" w:ascii="宋体" w:hAnsi="宋体" w:eastAsia="宋体" w:cs="宋体"/>
      </w:rPr>
    </w:lvl>
    <w:lvl w:ilvl="4" w:tentative="0">
      <w:start w:val="1"/>
      <w:numFmt w:val="decimal"/>
      <w:lvlText w:val="%1.%2.%3.%4.%5"/>
      <w:lvlJc w:val="left"/>
      <w:pPr>
        <w:ind w:left="0" w:firstLine="0"/>
      </w:pPr>
      <w:rPr>
        <w:rFonts w:hint="default" w:ascii="宋体" w:hAnsi="宋体" w:eastAsia="宋体" w:cs="宋体"/>
      </w:rPr>
    </w:lvl>
    <w:lvl w:ilvl="5" w:tentative="0">
      <w:start w:val="1"/>
      <w:numFmt w:val="decimal"/>
      <w:lvlText w:val="%1.%2.%3.%4.%5.%6"/>
      <w:lvlJc w:val="left"/>
      <w:pPr>
        <w:ind w:left="1151" w:hanging="1151"/>
      </w:pPr>
      <w:rPr>
        <w:rFonts w:hint="default" w:ascii="宋体" w:hAnsi="宋体" w:eastAsia="宋体" w:cs="宋体"/>
      </w:rPr>
    </w:lvl>
    <w:lvl w:ilvl="6" w:tentative="0">
      <w:start w:val="1"/>
      <w:numFmt w:val="decimal"/>
      <w:lvlText w:val="%1.%2.%3.%4.%5.%6.%7"/>
      <w:lvlJc w:val="left"/>
      <w:pPr>
        <w:ind w:left="1296" w:hanging="1296"/>
      </w:pPr>
      <w:rPr>
        <w:rFonts w:hint="default" w:ascii="宋体" w:hAnsi="宋体" w:eastAsia="宋体" w:cs="宋体"/>
      </w:rPr>
    </w:lvl>
    <w:lvl w:ilvl="7" w:tentative="0">
      <w:start w:val="1"/>
      <w:numFmt w:val="decimal"/>
      <w:pStyle w:val="7"/>
      <w:lvlText w:val="%1.%2.%3.%4.%5.%6.%7.%8"/>
      <w:lvlJc w:val="left"/>
      <w:pPr>
        <w:ind w:left="1440" w:hanging="1440"/>
      </w:pPr>
      <w:rPr>
        <w:rFonts w:hint="default" w:ascii="宋体" w:hAnsi="宋体" w:eastAsia="宋体" w:cs="宋体"/>
      </w:rPr>
    </w:lvl>
    <w:lvl w:ilvl="8" w:tentative="0">
      <w:start w:val="1"/>
      <w:numFmt w:val="decimal"/>
      <w:lvlText w:val="%1.%2.%3.%4.%5.%6.%7.%8.%9"/>
      <w:lvlJc w:val="left"/>
      <w:pPr>
        <w:ind w:left="1583" w:hanging="1583"/>
      </w:pPr>
      <w:rPr>
        <w:rFonts w:hint="default" w:ascii="宋体" w:hAnsi="宋体" w:eastAsia="宋体" w:cs="宋体"/>
      </w:rPr>
    </w:lvl>
  </w:abstractNum>
  <w:abstractNum w:abstractNumId="1">
    <w:nsid w:val="D7A0BED8"/>
    <w:multiLevelType w:val="singleLevel"/>
    <w:tmpl w:val="D7A0BED8"/>
    <w:lvl w:ilvl="0" w:tentative="0">
      <w:start w:val="2"/>
      <w:numFmt w:val="chineseCounting"/>
      <w:suff w:val="nothing"/>
      <w:lvlText w:val="（%1）"/>
      <w:lvlJc w:val="left"/>
      <w:pPr>
        <w:ind w:left="1260"/>
      </w:pPr>
      <w:rPr>
        <w:rFonts w:hint="eastAsia"/>
      </w:rPr>
    </w:lvl>
  </w:abstractNum>
  <w:abstractNum w:abstractNumId="2">
    <w:nsid w:val="EC706A71"/>
    <w:multiLevelType w:val="singleLevel"/>
    <w:tmpl w:val="EC706A71"/>
    <w:lvl w:ilvl="0" w:tentative="0">
      <w:start w:val="14"/>
      <w:numFmt w:val="chineseCounting"/>
      <w:suff w:val="nothing"/>
      <w:lvlText w:val="%1、"/>
      <w:lvlJc w:val="left"/>
      <w:rPr>
        <w:rFonts w:hint="eastAsia"/>
      </w:rPr>
    </w:lvl>
  </w:abstractNum>
  <w:abstractNum w:abstractNumId="3">
    <w:nsid w:val="1F965999"/>
    <w:multiLevelType w:val="singleLevel"/>
    <w:tmpl w:val="1F965999"/>
    <w:lvl w:ilvl="0" w:tentative="0">
      <w:start w:val="17"/>
      <w:numFmt w:val="chineseCounting"/>
      <w:suff w:val="nothing"/>
      <w:lvlText w:val="%1、"/>
      <w:lvlJc w:val="left"/>
      <w:rPr>
        <w:rFonts w:hint="eastAsia"/>
      </w:rPr>
    </w:lvl>
  </w:abstractNum>
  <w:abstractNum w:abstractNumId="4">
    <w:nsid w:val="25A5BBE6"/>
    <w:multiLevelType w:val="singleLevel"/>
    <w:tmpl w:val="25A5BBE6"/>
    <w:lvl w:ilvl="0" w:tentative="0">
      <w:start w:val="2"/>
      <w:numFmt w:val="chineseCounting"/>
      <w:suff w:val="nothing"/>
      <w:lvlText w:val="%1、"/>
      <w:lvlJc w:val="left"/>
      <w:rPr>
        <w:rFonts w:hint="eastAsia"/>
      </w:rPr>
    </w:lvl>
  </w:abstractNum>
  <w:abstractNum w:abstractNumId="5">
    <w:nsid w:val="4BCC8B2B"/>
    <w:multiLevelType w:val="multilevel"/>
    <w:tmpl w:val="4BCC8B2B"/>
    <w:lvl w:ilvl="0" w:tentative="0">
      <w:start w:val="1"/>
      <w:numFmt w:val="decimal"/>
      <w:lvlText w:val="%1"/>
      <w:lvlJc w:val="left"/>
      <w:pPr>
        <w:ind w:left="432" w:hanging="432"/>
      </w:pPr>
      <w:rPr>
        <w:rFonts w:hint="default" w:ascii="宋体" w:hAnsi="宋体" w:eastAsia="宋体" w:cs="宋体"/>
      </w:rPr>
    </w:lvl>
    <w:lvl w:ilvl="1" w:tentative="0">
      <w:start w:val="1"/>
      <w:numFmt w:val="decimal"/>
      <w:pStyle w:val="4"/>
      <w:lvlText w:val="%1.%2"/>
      <w:lvlJc w:val="left"/>
      <w:pPr>
        <w:ind w:left="575" w:hanging="575"/>
      </w:pPr>
      <w:rPr>
        <w:rFonts w:hint="default" w:ascii="宋体" w:hAnsi="宋体" w:eastAsia="宋体" w:cs="宋体"/>
      </w:rPr>
    </w:lvl>
    <w:lvl w:ilvl="2" w:tentative="0">
      <w:start w:val="1"/>
      <w:numFmt w:val="decimal"/>
      <w:pStyle w:val="5"/>
      <w:isLgl/>
      <w:lvlText w:val="%1.%2.%3"/>
      <w:lvlJc w:val="left"/>
      <w:pPr>
        <w:ind w:left="720" w:hanging="720"/>
      </w:pPr>
      <w:rPr>
        <w:rFonts w:hint="default" w:ascii="宋体" w:hAnsi="宋体" w:eastAsia="宋体" w:cs="宋体"/>
      </w:rPr>
    </w:lvl>
    <w:lvl w:ilvl="3" w:tentative="0">
      <w:start w:val="1"/>
      <w:numFmt w:val="decimal"/>
      <w:pStyle w:val="6"/>
      <w:lvlText w:val="%1.%2.%3.%4"/>
      <w:lvlJc w:val="left"/>
      <w:pPr>
        <w:ind w:left="1284" w:hanging="864"/>
      </w:pPr>
      <w:rPr>
        <w:rFonts w:hint="default" w:ascii="宋体" w:hAnsi="宋体" w:eastAsia="宋体" w:cs="宋体"/>
      </w:rPr>
    </w:lvl>
    <w:lvl w:ilvl="4" w:tentative="0">
      <w:start w:val="1"/>
      <w:numFmt w:val="decimal"/>
      <w:lvlText w:val="%1.%2.%3.%4.%5"/>
      <w:lvlJc w:val="left"/>
      <w:pPr>
        <w:ind w:left="0" w:firstLine="0"/>
      </w:pPr>
      <w:rPr>
        <w:rFonts w:hint="default" w:ascii="宋体" w:hAnsi="宋体" w:eastAsia="宋体" w:cs="宋体"/>
      </w:rPr>
    </w:lvl>
    <w:lvl w:ilvl="5" w:tentative="0">
      <w:start w:val="1"/>
      <w:numFmt w:val="decimal"/>
      <w:lvlText w:val="%1.%2.%3.%4.%5.%6"/>
      <w:lvlJc w:val="left"/>
      <w:pPr>
        <w:ind w:left="1151" w:hanging="1151"/>
      </w:pPr>
      <w:rPr>
        <w:rFonts w:hint="default" w:ascii="宋体" w:hAnsi="宋体" w:eastAsia="宋体" w:cs="宋体"/>
      </w:rPr>
    </w:lvl>
    <w:lvl w:ilvl="6" w:tentative="0">
      <w:start w:val="1"/>
      <w:numFmt w:val="decimal"/>
      <w:lvlText w:val="%1.%2.%3.%4.%5.%6.%7"/>
      <w:lvlJc w:val="left"/>
      <w:pPr>
        <w:ind w:left="1296" w:hanging="1296"/>
      </w:pPr>
      <w:rPr>
        <w:rFonts w:hint="default" w:ascii="宋体" w:hAnsi="宋体" w:eastAsia="宋体" w:cs="宋体"/>
      </w:rPr>
    </w:lvl>
    <w:lvl w:ilvl="7" w:tentative="0">
      <w:start w:val="1"/>
      <w:numFmt w:val="decimal"/>
      <w:lvlText w:val="%1.%2.%3.%4.%5.%6.%7.%8"/>
      <w:lvlJc w:val="left"/>
      <w:pPr>
        <w:ind w:left="1440" w:hanging="1440"/>
      </w:pPr>
      <w:rPr>
        <w:rFonts w:hint="default" w:ascii="宋体" w:hAnsi="宋体" w:eastAsia="宋体" w:cs="宋体"/>
      </w:rPr>
    </w:lvl>
    <w:lvl w:ilvl="8" w:tentative="0">
      <w:start w:val="1"/>
      <w:numFmt w:val="decimal"/>
      <w:lvlText w:val="%1.%2.%3.%4.%5.%6.%7.%8.%9"/>
      <w:lvlJc w:val="left"/>
      <w:pPr>
        <w:ind w:left="1583" w:hanging="1583"/>
      </w:pPr>
      <w:rPr>
        <w:rFonts w:hint="default" w:ascii="宋体" w:hAnsi="宋体" w:eastAsia="宋体" w:cs="宋体"/>
      </w:rPr>
    </w:lvl>
  </w:abstractNum>
  <w:abstractNum w:abstractNumId="6">
    <w:nsid w:val="62B96381"/>
    <w:multiLevelType w:val="singleLevel"/>
    <w:tmpl w:val="62B96381"/>
    <w:lvl w:ilvl="0" w:tentative="0">
      <w:start w:val="1"/>
      <w:numFmt w:val="decimal"/>
      <w:lvlText w:val="%1."/>
      <w:lvlJc w:val="left"/>
      <w:pPr>
        <w:tabs>
          <w:tab w:val="left" w:pos="312"/>
        </w:tabs>
      </w:pPr>
    </w:lvl>
  </w:abstractNum>
  <w:num w:numId="1">
    <w:abstractNumId w:val="5"/>
  </w:num>
  <w:num w:numId="2">
    <w:abstractNumId w:val="0"/>
  </w:num>
  <w:num w:numId="3">
    <w:abstractNumId w:val="4"/>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lOWE4N2I1Y2IwYzY2YjM1MDZhYTBjMjk5YmQ0OGYifQ=="/>
  </w:docVars>
  <w:rsids>
    <w:rsidRoot w:val="0051689F"/>
    <w:rsid w:val="00006B7F"/>
    <w:rsid w:val="000255C6"/>
    <w:rsid w:val="00053991"/>
    <w:rsid w:val="00095E74"/>
    <w:rsid w:val="00097D48"/>
    <w:rsid w:val="000C4C7A"/>
    <w:rsid w:val="000F738E"/>
    <w:rsid w:val="001007D8"/>
    <w:rsid w:val="001221CE"/>
    <w:rsid w:val="00125861"/>
    <w:rsid w:val="00141EFA"/>
    <w:rsid w:val="001907EC"/>
    <w:rsid w:val="00201C10"/>
    <w:rsid w:val="002222FC"/>
    <w:rsid w:val="00227BA1"/>
    <w:rsid w:val="00245102"/>
    <w:rsid w:val="00274DAC"/>
    <w:rsid w:val="00277239"/>
    <w:rsid w:val="00281E48"/>
    <w:rsid w:val="002A1AC8"/>
    <w:rsid w:val="002A3F97"/>
    <w:rsid w:val="002D3231"/>
    <w:rsid w:val="00351B3A"/>
    <w:rsid w:val="003717F3"/>
    <w:rsid w:val="003E2E52"/>
    <w:rsid w:val="003E4E63"/>
    <w:rsid w:val="0041383C"/>
    <w:rsid w:val="004325BF"/>
    <w:rsid w:val="00437300"/>
    <w:rsid w:val="004427BB"/>
    <w:rsid w:val="00465269"/>
    <w:rsid w:val="004A6ADE"/>
    <w:rsid w:val="004B01D8"/>
    <w:rsid w:val="004D5DE2"/>
    <w:rsid w:val="004E26F0"/>
    <w:rsid w:val="00504D03"/>
    <w:rsid w:val="0051689F"/>
    <w:rsid w:val="00523F67"/>
    <w:rsid w:val="005340C3"/>
    <w:rsid w:val="00580CDD"/>
    <w:rsid w:val="00584163"/>
    <w:rsid w:val="00611E26"/>
    <w:rsid w:val="00663CD3"/>
    <w:rsid w:val="006665A7"/>
    <w:rsid w:val="0067346F"/>
    <w:rsid w:val="00696D93"/>
    <w:rsid w:val="006B258B"/>
    <w:rsid w:val="00724C7E"/>
    <w:rsid w:val="00744722"/>
    <w:rsid w:val="00776C75"/>
    <w:rsid w:val="007C31D4"/>
    <w:rsid w:val="007C7AA7"/>
    <w:rsid w:val="007D74F9"/>
    <w:rsid w:val="007E2A4A"/>
    <w:rsid w:val="00806C0A"/>
    <w:rsid w:val="008279E6"/>
    <w:rsid w:val="0087205D"/>
    <w:rsid w:val="008C3FB2"/>
    <w:rsid w:val="008D5073"/>
    <w:rsid w:val="00902C2A"/>
    <w:rsid w:val="00903B4A"/>
    <w:rsid w:val="00924C30"/>
    <w:rsid w:val="00994B04"/>
    <w:rsid w:val="00A22224"/>
    <w:rsid w:val="00A333A8"/>
    <w:rsid w:val="00A47E29"/>
    <w:rsid w:val="00A5290D"/>
    <w:rsid w:val="00A62FC9"/>
    <w:rsid w:val="00A76D7D"/>
    <w:rsid w:val="00AB319A"/>
    <w:rsid w:val="00AF2C6A"/>
    <w:rsid w:val="00B156FC"/>
    <w:rsid w:val="00B368F6"/>
    <w:rsid w:val="00B42076"/>
    <w:rsid w:val="00B667BE"/>
    <w:rsid w:val="00B90997"/>
    <w:rsid w:val="00BD19DF"/>
    <w:rsid w:val="00BD6F8F"/>
    <w:rsid w:val="00C11C60"/>
    <w:rsid w:val="00C769EB"/>
    <w:rsid w:val="00C80274"/>
    <w:rsid w:val="00C81643"/>
    <w:rsid w:val="00CA62DB"/>
    <w:rsid w:val="00CD26D5"/>
    <w:rsid w:val="00CF7F74"/>
    <w:rsid w:val="00D8752D"/>
    <w:rsid w:val="00DA7B49"/>
    <w:rsid w:val="00DB719A"/>
    <w:rsid w:val="00DC0A62"/>
    <w:rsid w:val="00DC2AB3"/>
    <w:rsid w:val="00DE5FBE"/>
    <w:rsid w:val="00E0635F"/>
    <w:rsid w:val="00E17AD1"/>
    <w:rsid w:val="00E301C8"/>
    <w:rsid w:val="00E92F02"/>
    <w:rsid w:val="00EA32F8"/>
    <w:rsid w:val="00EB0E66"/>
    <w:rsid w:val="00EF0593"/>
    <w:rsid w:val="00F713D5"/>
    <w:rsid w:val="00F75FE0"/>
    <w:rsid w:val="00F766B4"/>
    <w:rsid w:val="00FD58A9"/>
    <w:rsid w:val="00FE7FFD"/>
    <w:rsid w:val="010B22B0"/>
    <w:rsid w:val="02164CDD"/>
    <w:rsid w:val="02532D2B"/>
    <w:rsid w:val="02554B69"/>
    <w:rsid w:val="0282168D"/>
    <w:rsid w:val="02C62933"/>
    <w:rsid w:val="02C92423"/>
    <w:rsid w:val="02F05C02"/>
    <w:rsid w:val="03B64EBD"/>
    <w:rsid w:val="03C41C19"/>
    <w:rsid w:val="03F73D27"/>
    <w:rsid w:val="04231234"/>
    <w:rsid w:val="04C44C50"/>
    <w:rsid w:val="04EA5381"/>
    <w:rsid w:val="05285DED"/>
    <w:rsid w:val="062C77A0"/>
    <w:rsid w:val="06A95A73"/>
    <w:rsid w:val="06B62CBE"/>
    <w:rsid w:val="06BB51FC"/>
    <w:rsid w:val="06EB62EC"/>
    <w:rsid w:val="06F43B0B"/>
    <w:rsid w:val="0781035F"/>
    <w:rsid w:val="07AD226C"/>
    <w:rsid w:val="07AF35E9"/>
    <w:rsid w:val="07ED05C7"/>
    <w:rsid w:val="085B58CB"/>
    <w:rsid w:val="08F1016E"/>
    <w:rsid w:val="09336431"/>
    <w:rsid w:val="09957FA5"/>
    <w:rsid w:val="09FE0C04"/>
    <w:rsid w:val="0A4F76B2"/>
    <w:rsid w:val="0A792367"/>
    <w:rsid w:val="0AD33E3F"/>
    <w:rsid w:val="0BDF05C2"/>
    <w:rsid w:val="0BFA0E2E"/>
    <w:rsid w:val="0C230210"/>
    <w:rsid w:val="0CA23AC9"/>
    <w:rsid w:val="0CCB2D91"/>
    <w:rsid w:val="0CF229F3"/>
    <w:rsid w:val="0CFF716D"/>
    <w:rsid w:val="0D1B035C"/>
    <w:rsid w:val="0D3B603D"/>
    <w:rsid w:val="0D765F61"/>
    <w:rsid w:val="0DA94386"/>
    <w:rsid w:val="0DEC13E3"/>
    <w:rsid w:val="0E180AD4"/>
    <w:rsid w:val="0EBE7D9C"/>
    <w:rsid w:val="10280686"/>
    <w:rsid w:val="104F2851"/>
    <w:rsid w:val="10881C14"/>
    <w:rsid w:val="113D2012"/>
    <w:rsid w:val="115D0CBD"/>
    <w:rsid w:val="12AA338A"/>
    <w:rsid w:val="12BB3B36"/>
    <w:rsid w:val="136E12C6"/>
    <w:rsid w:val="13736033"/>
    <w:rsid w:val="138F1DDD"/>
    <w:rsid w:val="139474AE"/>
    <w:rsid w:val="140A76BF"/>
    <w:rsid w:val="14171E4D"/>
    <w:rsid w:val="143E4825"/>
    <w:rsid w:val="14584C70"/>
    <w:rsid w:val="14625938"/>
    <w:rsid w:val="149803FF"/>
    <w:rsid w:val="1499306D"/>
    <w:rsid w:val="15F64E85"/>
    <w:rsid w:val="171639BF"/>
    <w:rsid w:val="17EA2C9F"/>
    <w:rsid w:val="18142E08"/>
    <w:rsid w:val="182A5DC2"/>
    <w:rsid w:val="190A5B59"/>
    <w:rsid w:val="194859F8"/>
    <w:rsid w:val="19614D0C"/>
    <w:rsid w:val="19683F5B"/>
    <w:rsid w:val="19900C1E"/>
    <w:rsid w:val="19EC2827"/>
    <w:rsid w:val="19F83590"/>
    <w:rsid w:val="1A862C7C"/>
    <w:rsid w:val="1AAC6DF8"/>
    <w:rsid w:val="1AAF6C79"/>
    <w:rsid w:val="1AB449F0"/>
    <w:rsid w:val="1AC91A62"/>
    <w:rsid w:val="1B0E6A28"/>
    <w:rsid w:val="1BAF3FB1"/>
    <w:rsid w:val="1BED0AD9"/>
    <w:rsid w:val="1C0E7233"/>
    <w:rsid w:val="1C5648D0"/>
    <w:rsid w:val="1D22420F"/>
    <w:rsid w:val="1D39539B"/>
    <w:rsid w:val="1D3F5455"/>
    <w:rsid w:val="1D5F77B4"/>
    <w:rsid w:val="1D7323EB"/>
    <w:rsid w:val="1EF00C36"/>
    <w:rsid w:val="1F8F4381"/>
    <w:rsid w:val="1F933745"/>
    <w:rsid w:val="1FC225AD"/>
    <w:rsid w:val="1FC2546F"/>
    <w:rsid w:val="1FD4140E"/>
    <w:rsid w:val="20517888"/>
    <w:rsid w:val="20833C10"/>
    <w:rsid w:val="2088476C"/>
    <w:rsid w:val="208B1E9C"/>
    <w:rsid w:val="20B53F67"/>
    <w:rsid w:val="20B56F1B"/>
    <w:rsid w:val="20FD0CDD"/>
    <w:rsid w:val="218F4763"/>
    <w:rsid w:val="21AD6101"/>
    <w:rsid w:val="222B0335"/>
    <w:rsid w:val="22482FE8"/>
    <w:rsid w:val="22745AB0"/>
    <w:rsid w:val="22A13572"/>
    <w:rsid w:val="22E04744"/>
    <w:rsid w:val="231560F9"/>
    <w:rsid w:val="23824AC2"/>
    <w:rsid w:val="239857CE"/>
    <w:rsid w:val="23A16A37"/>
    <w:rsid w:val="23C14F6E"/>
    <w:rsid w:val="24042E63"/>
    <w:rsid w:val="247F4744"/>
    <w:rsid w:val="25F4470E"/>
    <w:rsid w:val="27203380"/>
    <w:rsid w:val="27391076"/>
    <w:rsid w:val="2778394C"/>
    <w:rsid w:val="27C61C37"/>
    <w:rsid w:val="280F58EA"/>
    <w:rsid w:val="286103AE"/>
    <w:rsid w:val="28CE5855"/>
    <w:rsid w:val="29B85D84"/>
    <w:rsid w:val="2C03296F"/>
    <w:rsid w:val="2C4C3368"/>
    <w:rsid w:val="2C8715B0"/>
    <w:rsid w:val="2CE35EB0"/>
    <w:rsid w:val="2CF2554C"/>
    <w:rsid w:val="2D6039EC"/>
    <w:rsid w:val="2D607348"/>
    <w:rsid w:val="2D9A5DFE"/>
    <w:rsid w:val="2DA82AB1"/>
    <w:rsid w:val="2DED3A9E"/>
    <w:rsid w:val="2E1626D1"/>
    <w:rsid w:val="2EBE5D8A"/>
    <w:rsid w:val="2F283EAA"/>
    <w:rsid w:val="30267AFA"/>
    <w:rsid w:val="303E7B0F"/>
    <w:rsid w:val="321626E0"/>
    <w:rsid w:val="32B51A64"/>
    <w:rsid w:val="33175CBB"/>
    <w:rsid w:val="33527747"/>
    <w:rsid w:val="336652B7"/>
    <w:rsid w:val="33DE394A"/>
    <w:rsid w:val="34A6680D"/>
    <w:rsid w:val="35920753"/>
    <w:rsid w:val="36160512"/>
    <w:rsid w:val="3656754F"/>
    <w:rsid w:val="368546C9"/>
    <w:rsid w:val="36F36354"/>
    <w:rsid w:val="37461371"/>
    <w:rsid w:val="3757338C"/>
    <w:rsid w:val="377948AB"/>
    <w:rsid w:val="37AE1209"/>
    <w:rsid w:val="37E010CF"/>
    <w:rsid w:val="37FD4895"/>
    <w:rsid w:val="384E127B"/>
    <w:rsid w:val="38613F89"/>
    <w:rsid w:val="386A0B23"/>
    <w:rsid w:val="3874749E"/>
    <w:rsid w:val="3891486E"/>
    <w:rsid w:val="3936590A"/>
    <w:rsid w:val="39477622"/>
    <w:rsid w:val="3971469F"/>
    <w:rsid w:val="39F32266"/>
    <w:rsid w:val="3A7E646E"/>
    <w:rsid w:val="3B0A0908"/>
    <w:rsid w:val="3BED7890"/>
    <w:rsid w:val="3BFF5F92"/>
    <w:rsid w:val="3C58101D"/>
    <w:rsid w:val="3D1F79DC"/>
    <w:rsid w:val="3D2757A1"/>
    <w:rsid w:val="3D7C2E95"/>
    <w:rsid w:val="3D993E3F"/>
    <w:rsid w:val="3DF466D8"/>
    <w:rsid w:val="3E4D1597"/>
    <w:rsid w:val="3F753D18"/>
    <w:rsid w:val="3FCC38DF"/>
    <w:rsid w:val="40AB66E9"/>
    <w:rsid w:val="40D76AF9"/>
    <w:rsid w:val="41C7182C"/>
    <w:rsid w:val="431111E7"/>
    <w:rsid w:val="43815067"/>
    <w:rsid w:val="4382430B"/>
    <w:rsid w:val="43B62D9A"/>
    <w:rsid w:val="44735770"/>
    <w:rsid w:val="449F53B4"/>
    <w:rsid w:val="44B65F39"/>
    <w:rsid w:val="44CD300E"/>
    <w:rsid w:val="44E95A32"/>
    <w:rsid w:val="45051A2B"/>
    <w:rsid w:val="456B28EB"/>
    <w:rsid w:val="45807E73"/>
    <w:rsid w:val="460E7377"/>
    <w:rsid w:val="46594377"/>
    <w:rsid w:val="466E0922"/>
    <w:rsid w:val="46A52C30"/>
    <w:rsid w:val="46D32EE8"/>
    <w:rsid w:val="47385F6E"/>
    <w:rsid w:val="477517FF"/>
    <w:rsid w:val="48194880"/>
    <w:rsid w:val="482B0799"/>
    <w:rsid w:val="48422126"/>
    <w:rsid w:val="48CC18F2"/>
    <w:rsid w:val="48D21436"/>
    <w:rsid w:val="4953791E"/>
    <w:rsid w:val="49CD4282"/>
    <w:rsid w:val="49FF3A8D"/>
    <w:rsid w:val="4A1E574C"/>
    <w:rsid w:val="4A227A1C"/>
    <w:rsid w:val="4A26699A"/>
    <w:rsid w:val="4A85202A"/>
    <w:rsid w:val="4ABE526B"/>
    <w:rsid w:val="4AC1073B"/>
    <w:rsid w:val="4B300AEB"/>
    <w:rsid w:val="4C3C31DF"/>
    <w:rsid w:val="4C715FB2"/>
    <w:rsid w:val="4CA87FCD"/>
    <w:rsid w:val="4CC25EA5"/>
    <w:rsid w:val="4D072F2D"/>
    <w:rsid w:val="4E223196"/>
    <w:rsid w:val="4E7B393A"/>
    <w:rsid w:val="4ED04F5B"/>
    <w:rsid w:val="4F0E056F"/>
    <w:rsid w:val="4F3D1D45"/>
    <w:rsid w:val="4F5601D2"/>
    <w:rsid w:val="4FA24F01"/>
    <w:rsid w:val="4FCE41A2"/>
    <w:rsid w:val="4FF85348"/>
    <w:rsid w:val="50BC2546"/>
    <w:rsid w:val="50F300AC"/>
    <w:rsid w:val="51497F84"/>
    <w:rsid w:val="519A09D3"/>
    <w:rsid w:val="51F05481"/>
    <w:rsid w:val="523734C2"/>
    <w:rsid w:val="527A416D"/>
    <w:rsid w:val="532B5838"/>
    <w:rsid w:val="534D4075"/>
    <w:rsid w:val="53D830E0"/>
    <w:rsid w:val="549750BA"/>
    <w:rsid w:val="549C7626"/>
    <w:rsid w:val="54FC4486"/>
    <w:rsid w:val="55345CB1"/>
    <w:rsid w:val="553C3A71"/>
    <w:rsid w:val="55A63DC1"/>
    <w:rsid w:val="55B66E4B"/>
    <w:rsid w:val="55E47F44"/>
    <w:rsid w:val="56A30865"/>
    <w:rsid w:val="57435475"/>
    <w:rsid w:val="57687F4D"/>
    <w:rsid w:val="58BE2397"/>
    <w:rsid w:val="58DB3CC7"/>
    <w:rsid w:val="59457283"/>
    <w:rsid w:val="59E545D9"/>
    <w:rsid w:val="5A421A14"/>
    <w:rsid w:val="5A807D9A"/>
    <w:rsid w:val="5A8D590D"/>
    <w:rsid w:val="5AFC109B"/>
    <w:rsid w:val="5B1C4013"/>
    <w:rsid w:val="5C5E159C"/>
    <w:rsid w:val="5CF73E90"/>
    <w:rsid w:val="5D111538"/>
    <w:rsid w:val="5D8F1C29"/>
    <w:rsid w:val="5D9D0C43"/>
    <w:rsid w:val="5DD40BD5"/>
    <w:rsid w:val="5E2B2731"/>
    <w:rsid w:val="5E3D7C33"/>
    <w:rsid w:val="5EA92062"/>
    <w:rsid w:val="5EAD626E"/>
    <w:rsid w:val="5EFE6E52"/>
    <w:rsid w:val="5F592F4C"/>
    <w:rsid w:val="5F6C105E"/>
    <w:rsid w:val="5FD161CC"/>
    <w:rsid w:val="60236E4D"/>
    <w:rsid w:val="60714E01"/>
    <w:rsid w:val="618004FF"/>
    <w:rsid w:val="61E41603"/>
    <w:rsid w:val="62120443"/>
    <w:rsid w:val="62257C51"/>
    <w:rsid w:val="6263077A"/>
    <w:rsid w:val="6298132C"/>
    <w:rsid w:val="62E278F0"/>
    <w:rsid w:val="63BE7E14"/>
    <w:rsid w:val="63C07FEA"/>
    <w:rsid w:val="63DF4DDF"/>
    <w:rsid w:val="6484649B"/>
    <w:rsid w:val="655820EC"/>
    <w:rsid w:val="65805B12"/>
    <w:rsid w:val="66240220"/>
    <w:rsid w:val="680B2022"/>
    <w:rsid w:val="681E586F"/>
    <w:rsid w:val="689F6D5F"/>
    <w:rsid w:val="68CD2613"/>
    <w:rsid w:val="69BDA91A"/>
    <w:rsid w:val="69F829C1"/>
    <w:rsid w:val="6A4B50B0"/>
    <w:rsid w:val="6A8D0A8A"/>
    <w:rsid w:val="6AB42B03"/>
    <w:rsid w:val="6B1D0EEF"/>
    <w:rsid w:val="6B916358"/>
    <w:rsid w:val="6B920112"/>
    <w:rsid w:val="6BC63156"/>
    <w:rsid w:val="6C7D63BA"/>
    <w:rsid w:val="6C983716"/>
    <w:rsid w:val="6CA126F0"/>
    <w:rsid w:val="6DA33DF1"/>
    <w:rsid w:val="6E5B49FB"/>
    <w:rsid w:val="6E721898"/>
    <w:rsid w:val="6F5E6D24"/>
    <w:rsid w:val="6F7F4719"/>
    <w:rsid w:val="6FAA0DA2"/>
    <w:rsid w:val="6FB841EB"/>
    <w:rsid w:val="6FD44A65"/>
    <w:rsid w:val="6FF6A08C"/>
    <w:rsid w:val="701D1022"/>
    <w:rsid w:val="7028502E"/>
    <w:rsid w:val="703416FE"/>
    <w:rsid w:val="70A1652C"/>
    <w:rsid w:val="71066234"/>
    <w:rsid w:val="711041C2"/>
    <w:rsid w:val="71386B38"/>
    <w:rsid w:val="71764043"/>
    <w:rsid w:val="717A163C"/>
    <w:rsid w:val="718B35CA"/>
    <w:rsid w:val="723143F0"/>
    <w:rsid w:val="729D0723"/>
    <w:rsid w:val="730B5D3B"/>
    <w:rsid w:val="736028BB"/>
    <w:rsid w:val="743C2BDE"/>
    <w:rsid w:val="74A56E92"/>
    <w:rsid w:val="74DE789C"/>
    <w:rsid w:val="75384D7C"/>
    <w:rsid w:val="75E87CAC"/>
    <w:rsid w:val="76157B85"/>
    <w:rsid w:val="76606EB1"/>
    <w:rsid w:val="76C61B98"/>
    <w:rsid w:val="77071789"/>
    <w:rsid w:val="78BB4A14"/>
    <w:rsid w:val="78CB48F7"/>
    <w:rsid w:val="7903718D"/>
    <w:rsid w:val="790936E2"/>
    <w:rsid w:val="792B653D"/>
    <w:rsid w:val="7948142C"/>
    <w:rsid w:val="79593872"/>
    <w:rsid w:val="7B0536B4"/>
    <w:rsid w:val="7B310FBD"/>
    <w:rsid w:val="7B3A4FC4"/>
    <w:rsid w:val="7B627205"/>
    <w:rsid w:val="7B7839FD"/>
    <w:rsid w:val="7C977FD9"/>
    <w:rsid w:val="7CB00608"/>
    <w:rsid w:val="7D250FF6"/>
    <w:rsid w:val="7D38066E"/>
    <w:rsid w:val="7E165E8B"/>
    <w:rsid w:val="7E173C10"/>
    <w:rsid w:val="7E324FE2"/>
    <w:rsid w:val="7E885398"/>
    <w:rsid w:val="7E9D7B39"/>
    <w:rsid w:val="7F2C15B3"/>
    <w:rsid w:val="7F2E23E3"/>
    <w:rsid w:val="7F323556"/>
    <w:rsid w:val="7F3E0887"/>
    <w:rsid w:val="7F6E51B0"/>
    <w:rsid w:val="E4FB55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2"/>
    <w:basedOn w:val="1"/>
    <w:next w:val="1"/>
    <w:semiHidden/>
    <w:unhideWhenUsed/>
    <w:qFormat/>
    <w:uiPriority w:val="9"/>
    <w:pPr>
      <w:keepNext/>
      <w:keepLines/>
      <w:numPr>
        <w:ilvl w:val="1"/>
        <w:numId w:val="1"/>
      </w:numPr>
      <w:tabs>
        <w:tab w:val="left" w:pos="0"/>
      </w:tabs>
      <w:spacing w:before="260" w:after="260" w:line="413" w:lineRule="auto"/>
      <w:ind w:left="575" w:hanging="575"/>
      <w:outlineLvl w:val="1"/>
    </w:pPr>
    <w:rPr>
      <w:rFonts w:ascii="Arial" w:hAnsi="Arial" w:eastAsia="仿宋" w:cs="仿宋"/>
      <w:b/>
      <w:kern w:val="2"/>
      <w:sz w:val="32"/>
      <w:lang w:val="zh-CN" w:bidi="zh-CN"/>
    </w:rPr>
  </w:style>
  <w:style w:type="paragraph" w:styleId="5">
    <w:name w:val="heading 3"/>
    <w:basedOn w:val="1"/>
    <w:next w:val="1"/>
    <w:semiHidden/>
    <w:unhideWhenUsed/>
    <w:qFormat/>
    <w:uiPriority w:val="9"/>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6">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1284" w:hanging="864"/>
      <w:outlineLvl w:val="3"/>
    </w:pPr>
    <w:rPr>
      <w:rFonts w:ascii="Arial" w:hAnsi="Arial" w:eastAsia="宋体" w:cs="Times New Roman"/>
      <w:b/>
      <w:sz w:val="24"/>
      <w:lang w:val="zh-CN" w:bidi="zh-CN"/>
    </w:rPr>
  </w:style>
  <w:style w:type="paragraph" w:styleId="7">
    <w:name w:val="heading 8"/>
    <w:basedOn w:val="1"/>
    <w:next w:val="1"/>
    <w:semiHidden/>
    <w:unhideWhenUsed/>
    <w:qFormat/>
    <w:uiPriority w:val="9"/>
    <w:pPr>
      <w:keepNext/>
      <w:keepLines/>
      <w:numPr>
        <w:ilvl w:val="7"/>
        <w:numId w:val="2"/>
      </w:numPr>
      <w:spacing w:before="240" w:beforeLines="0" w:beforeAutospacing="0" w:after="64" w:afterLines="0" w:afterAutospacing="0" w:line="317" w:lineRule="auto"/>
      <w:ind w:left="1440" w:hanging="1440"/>
      <w:outlineLvl w:val="7"/>
    </w:pPr>
    <w:rPr>
      <w:rFonts w:ascii="Arial" w:hAnsi="Arial" w:eastAsia="仿宋" w:cs="Times New Roman"/>
      <w:kern w:val="2"/>
      <w:sz w:val="24"/>
      <w:lang w:val="en-US" w:bidi="ar-SA"/>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customStyle="1" w:styleId="2">
    <w:name w:val="正文首行缩进 21"/>
    <w:basedOn w:val="3"/>
    <w:semiHidden/>
    <w:qFormat/>
    <w:uiPriority w:val="0"/>
    <w:pPr>
      <w:spacing w:before="100" w:beforeAutospacing="1" w:after="0"/>
      <w:ind w:firstLine="420" w:firstLineChars="200"/>
    </w:pPr>
    <w:rPr>
      <w:rFonts w:eastAsia="宋体"/>
      <w:sz w:val="21"/>
      <w:szCs w:val="21"/>
    </w:rPr>
  </w:style>
  <w:style w:type="paragraph" w:styleId="3">
    <w:name w:val="Body Text Indent"/>
    <w:basedOn w:val="1"/>
    <w:unhideWhenUsed/>
    <w:qFormat/>
    <w:uiPriority w:val="99"/>
    <w:pPr>
      <w:spacing w:after="120" w:afterLines="0" w:afterAutospacing="0"/>
      <w:ind w:left="420" w:leftChars="200"/>
    </w:pPr>
    <w:rPr>
      <w:rFonts w:eastAsia="宋体"/>
      <w:sz w:val="21"/>
    </w:rPr>
  </w:style>
  <w:style w:type="paragraph" w:styleId="8">
    <w:name w:val="Normal Indent"/>
    <w:basedOn w:val="1"/>
    <w:qFormat/>
    <w:uiPriority w:val="99"/>
    <w:pPr>
      <w:ind w:firstLine="420" w:firstLineChars="200"/>
    </w:pPr>
    <w:rPr>
      <w:rFonts w:ascii="Times New Roman" w:hAnsi="Times New Roman" w:eastAsia="宋体"/>
      <w:kern w:val="0"/>
      <w:sz w:val="20"/>
    </w:rPr>
  </w:style>
  <w:style w:type="paragraph" w:styleId="9">
    <w:name w:val="annotation text"/>
    <w:basedOn w:val="1"/>
    <w:qFormat/>
    <w:uiPriority w:val="0"/>
    <w:pPr>
      <w:jc w:val="left"/>
    </w:pPr>
  </w:style>
  <w:style w:type="paragraph" w:styleId="10">
    <w:name w:val="Body Text"/>
    <w:basedOn w:val="1"/>
    <w:qFormat/>
    <w:uiPriority w:val="1"/>
    <w:pPr>
      <w:spacing w:line="360" w:lineRule="auto"/>
      <w:ind w:left="0" w:firstLine="723" w:firstLineChars="200"/>
      <w:jc w:val="both"/>
    </w:pPr>
    <w:rPr>
      <w:rFonts w:eastAsia="仿宋_GB2312"/>
      <w:sz w:val="28"/>
      <w:szCs w:val="28"/>
    </w:rPr>
  </w:style>
  <w:style w:type="paragraph" w:styleId="11">
    <w:name w:val="Plain Text"/>
    <w:basedOn w:val="1"/>
    <w:unhideWhenUsed/>
    <w:qFormat/>
    <w:uiPriority w:val="99"/>
    <w:pPr>
      <w:autoSpaceDE/>
      <w:autoSpaceDN/>
      <w:jc w:val="both"/>
    </w:pPr>
    <w:rPr>
      <w:rFonts w:ascii="等线" w:hAnsi="Courier New" w:eastAsia="等线" w:cs="Courier New"/>
      <w:kern w:val="2"/>
      <w:sz w:val="21"/>
      <w:lang w:val="en-US" w:bidi="ar-SA"/>
    </w:rPr>
  </w:style>
  <w:style w:type="paragraph" w:styleId="12">
    <w:name w:val="footer"/>
    <w:basedOn w:val="1"/>
    <w:link w:val="2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basedOn w:val="3"/>
    <w:next w:val="1"/>
    <w:qFormat/>
    <w:uiPriority w:val="0"/>
    <w:pPr>
      <w:spacing w:line="400" w:lineRule="exact"/>
      <w:ind w:firstLine="480" w:firstLineChars="200"/>
    </w:pPr>
    <w:rPr>
      <w:rFonts w:ascii="Times New Roman" w:hAnsi="Times New Roman"/>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Hyperlink"/>
    <w:basedOn w:val="18"/>
    <w:qFormat/>
    <w:uiPriority w:val="0"/>
    <w:rPr>
      <w:color w:val="0000FF"/>
      <w:u w:val="single"/>
    </w:rPr>
  </w:style>
  <w:style w:type="character" w:customStyle="1" w:styleId="20">
    <w:name w:val="页眉 Char"/>
    <w:basedOn w:val="18"/>
    <w:link w:val="13"/>
    <w:qFormat/>
    <w:uiPriority w:val="99"/>
    <w:rPr>
      <w:sz w:val="18"/>
      <w:szCs w:val="18"/>
    </w:rPr>
  </w:style>
  <w:style w:type="character" w:customStyle="1" w:styleId="21">
    <w:name w:val="页脚 Char"/>
    <w:basedOn w:val="18"/>
    <w:link w:val="12"/>
    <w:qFormat/>
    <w:uiPriority w:val="99"/>
    <w:rPr>
      <w:sz w:val="18"/>
      <w:szCs w:val="18"/>
    </w:rPr>
  </w:style>
  <w:style w:type="paragraph" w:customStyle="1" w:styleId="22">
    <w:name w:val="小节标题"/>
    <w:basedOn w:val="1"/>
    <w:next w:val="1"/>
    <w:qFormat/>
    <w:uiPriority w:val="0"/>
    <w:pPr>
      <w:widowControl/>
      <w:spacing w:before="175" w:after="102" w:line="566" w:lineRule="atLeast"/>
      <w:textAlignment w:val="baseline"/>
    </w:pPr>
    <w:rPr>
      <w:rFonts w:ascii="Times New Roman" w:hAnsi="Times New Roman" w:eastAsia="黑体"/>
      <w:color w:val="000000"/>
      <w:kern w:val="0"/>
      <w:szCs w:val="20"/>
      <w:u w:color="000000"/>
    </w:rPr>
  </w:style>
  <w:style w:type="paragraph" w:customStyle="1" w:styleId="23">
    <w:name w:val="表格文字"/>
    <w:basedOn w:val="1"/>
    <w:qFormat/>
    <w:uiPriority w:val="0"/>
    <w:pPr>
      <w:spacing w:line="240" w:lineRule="auto"/>
      <w:ind w:firstLine="0" w:firstLineChars="0"/>
      <w:jc w:val="center"/>
    </w:pPr>
    <w:rPr>
      <w:rFonts w:hint="eastAsia" w:ascii="仿宋_GB2312" w:hAnsi="仿宋_GB2312" w:cs="仿宋_GB2312"/>
      <w:szCs w:val="28"/>
    </w:rPr>
  </w:style>
  <w:style w:type="paragraph" w:styleId="24">
    <w:name w:val="List Paragraph"/>
    <w:basedOn w:val="1"/>
    <w:qFormat/>
    <w:uiPriority w:val="1"/>
    <w:pPr>
      <w:spacing w:before="186"/>
      <w:ind w:left="420" w:firstLine="559"/>
    </w:pPr>
    <w:rPr>
      <w:rFonts w:ascii="仿宋" w:hAnsi="仿宋" w:eastAsia="仿宋" w:cs="仿宋"/>
      <w:lang w:val="zh-CN" w:eastAsia="zh-CN" w:bidi="zh-CN"/>
    </w:rPr>
  </w:style>
  <w:style w:type="paragraph" w:customStyle="1" w:styleId="25">
    <w:name w:val="Table Paragraph"/>
    <w:basedOn w:val="1"/>
    <w:qFormat/>
    <w:uiPriority w:val="1"/>
    <w:rPr>
      <w:rFonts w:ascii="仿宋" w:hAnsi="仿宋" w:eastAsia="仿宋" w:cs="仿宋"/>
      <w:lang w:val="zh-CN" w:eastAsia="zh-CN" w:bidi="zh-CN"/>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NUL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98</Pages>
  <Words>56991</Words>
  <Characters>62143</Characters>
  <DocSecurity>0</DocSecurity>
  <Lines>1</Lines>
  <Paragraphs>1</Paragraphs>
  <ScaleCrop>false</ScaleCrop>
  <LinksUpToDate>false</LinksUpToDate>
  <CharactersWithSpaces>62850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2018-10-08T21:48:00Z</dcterms:created>
  <dcterms:modified xsi:type="dcterms:W3CDTF">2023-04-17T13:12:42Z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118691A0A94A4C2FA3F44012FE7C253B_13</vt:lpwstr>
  </property>
</Properties>
</file>