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72"/>
          <w:szCs w:val="72"/>
        </w:rPr>
      </w:pPr>
    </w:p>
    <w:p>
      <w:pPr>
        <w:pStyle w:val="2"/>
        <w:rPr>
          <w:rFonts w:hint="eastAsia"/>
        </w:rPr>
      </w:pPr>
    </w:p>
    <w:p>
      <w:pPr>
        <w:rPr>
          <w:rFonts w:hint="eastAsia"/>
        </w:rPr>
      </w:pPr>
    </w:p>
    <w:p>
      <w:pPr>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全国职业院校技能大赛</w:t>
      </w:r>
    </w:p>
    <w:p>
      <w:pPr>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赛项规程</w:t>
      </w:r>
    </w:p>
    <w:p>
      <w:pPr>
        <w:snapToGrid w:val="0"/>
        <w:spacing w:line="532" w:lineRule="atLeast"/>
        <w:jc w:val="center"/>
        <w:rPr>
          <w:rFonts w:ascii="Times New Roman" w:hAnsi="Times New Roman" w:eastAsia="宋体" w:cs="Times New Roman"/>
        </w:rPr>
      </w:pPr>
    </w:p>
    <w:p>
      <w:pPr>
        <w:pStyle w:val="2"/>
      </w:pPr>
    </w:p>
    <w:p>
      <w:pPr>
        <w:snapToGrid w:val="0"/>
        <w:spacing w:line="243" w:lineRule="atLeast"/>
        <w:jc w:val="center"/>
        <w:rPr>
          <w:rFonts w:ascii="Times New Roman" w:hAnsi="Times New Roman" w:eastAsia="宋体" w:cs="Times New Roman"/>
        </w:rPr>
      </w:pPr>
    </w:p>
    <w:p>
      <w:pPr>
        <w:snapToGrid w:val="0"/>
        <w:spacing w:line="243" w:lineRule="atLeast"/>
        <w:jc w:val="center"/>
        <w:rPr>
          <w:rFonts w:ascii="Times New Roman" w:hAnsi="Times New Roman" w:eastAsia="宋体" w:cs="Times New Roman"/>
        </w:rPr>
      </w:pPr>
    </w:p>
    <w:p>
      <w:pPr>
        <w:snapToGrid w:val="0"/>
        <w:spacing w:line="243" w:lineRule="atLeast"/>
        <w:jc w:val="center"/>
        <w:rPr>
          <w:rFonts w:ascii="Times New Roman" w:hAnsi="Times New Roman" w:eastAsia="宋体" w:cs="Times New Roman"/>
        </w:rPr>
      </w:pPr>
    </w:p>
    <w:p>
      <w:pPr>
        <w:snapToGrid w:val="0"/>
        <w:spacing w:line="243" w:lineRule="atLeast"/>
        <w:jc w:val="center"/>
        <w:rPr>
          <w:rFonts w:ascii="Times New Roman" w:hAnsi="Times New Roman" w:eastAsia="宋体" w:cs="Times New Roman"/>
        </w:rPr>
      </w:pPr>
    </w:p>
    <w:p>
      <w:pPr>
        <w:snapToGrid w:val="0"/>
        <w:spacing w:line="243" w:lineRule="atLeast"/>
        <w:jc w:val="center"/>
        <w:rPr>
          <w:rFonts w:ascii="Times New Roman" w:hAnsi="Times New Roman" w:eastAsia="宋体" w:cs="Times New Roman"/>
        </w:rPr>
      </w:pPr>
    </w:p>
    <w:p>
      <w:pPr>
        <w:snapToGrid w:val="0"/>
        <w:spacing w:line="243" w:lineRule="atLeast"/>
        <w:jc w:val="center"/>
        <w:rPr>
          <w:rFonts w:ascii="Times New Roman" w:hAnsi="Times New Roman" w:eastAsia="宋体" w:cs="Times New Roman"/>
        </w:rPr>
      </w:pPr>
    </w:p>
    <w:p>
      <w:pPr>
        <w:snapToGrid w:val="0"/>
        <w:spacing w:line="243" w:lineRule="atLeast"/>
        <w:jc w:val="center"/>
        <w:rPr>
          <w:rFonts w:ascii="Times New Roman" w:hAnsi="Times New Roman" w:eastAsia="宋体" w:cs="Times New Roman"/>
        </w:rPr>
      </w:pPr>
    </w:p>
    <w:p>
      <w:pPr>
        <w:snapToGrid w:val="0"/>
        <w:spacing w:line="243" w:lineRule="atLeast"/>
        <w:jc w:val="center"/>
        <w:rPr>
          <w:rFonts w:ascii="Times New Roman" w:hAnsi="Times New Roman" w:eastAsia="宋体" w:cs="Times New Roman"/>
        </w:rPr>
      </w:pPr>
    </w:p>
    <w:p>
      <w:pPr>
        <w:spacing w:line="800" w:lineRule="exact"/>
        <w:ind w:left="839"/>
        <w:rPr>
          <w:rFonts w:ascii="黑体" w:hAnsi="黑体" w:eastAsia="黑体" w:cs="黑体"/>
          <w:sz w:val="32"/>
          <w:szCs w:val="24"/>
          <w:u w:val="single"/>
        </w:rPr>
      </w:pPr>
      <w:r>
        <w:rPr>
          <w:rFonts w:hint="eastAsia" w:ascii="黑体" w:hAnsi="黑体" w:eastAsia="黑体" w:cs="黑体"/>
          <w:sz w:val="32"/>
          <w:szCs w:val="24"/>
        </w:rPr>
        <w:t>赛项名称：</w:t>
      </w:r>
      <w:r>
        <w:rPr>
          <w:rFonts w:hint="eastAsia" w:ascii="黑体" w:hAnsi="黑体" w:eastAsia="黑体" w:cs="黑体"/>
          <w:sz w:val="32"/>
          <w:szCs w:val="24"/>
          <w:u w:val="single"/>
        </w:rPr>
        <w:t xml:space="preserve">         电子商务运营         </w:t>
      </w:r>
    </w:p>
    <w:p>
      <w:pPr>
        <w:spacing w:line="800" w:lineRule="exact"/>
        <w:ind w:left="839"/>
        <w:rPr>
          <w:rFonts w:ascii="黑体" w:hAnsi="黑体" w:eastAsia="黑体" w:cs="黑体"/>
          <w:sz w:val="32"/>
          <w:szCs w:val="24"/>
        </w:rPr>
      </w:pPr>
      <w:r>
        <w:rPr>
          <w:rFonts w:hint="eastAsia" w:ascii="黑体" w:hAnsi="黑体" w:eastAsia="黑体" w:cs="黑体"/>
          <w:sz w:val="32"/>
          <w:szCs w:val="24"/>
        </w:rPr>
        <w:t>英文名称：</w:t>
      </w:r>
      <w:r>
        <w:rPr>
          <w:rFonts w:hint="eastAsia" w:ascii="黑体" w:hAnsi="黑体" w:eastAsia="黑体" w:cs="黑体"/>
          <w:sz w:val="32"/>
          <w:szCs w:val="24"/>
          <w:u w:val="single"/>
        </w:rPr>
        <w:t xml:space="preserve">     E-Commerce Operation     </w:t>
      </w:r>
    </w:p>
    <w:p>
      <w:pPr>
        <w:spacing w:line="800" w:lineRule="exact"/>
        <w:ind w:left="839"/>
        <w:rPr>
          <w:rFonts w:ascii="黑体" w:hAnsi="黑体" w:eastAsia="黑体" w:cs="黑体"/>
          <w:sz w:val="32"/>
          <w:szCs w:val="24"/>
        </w:rPr>
      </w:pPr>
      <w:r>
        <w:rPr>
          <w:rFonts w:hint="eastAsia" w:ascii="黑体" w:hAnsi="黑体" w:eastAsia="黑体" w:cs="黑体"/>
          <w:sz w:val="32"/>
          <w:szCs w:val="24"/>
        </w:rPr>
        <w:t>赛项组别：</w:t>
      </w:r>
      <w:r>
        <w:rPr>
          <w:rFonts w:hint="eastAsia" w:ascii="黑体" w:hAnsi="黑体" w:eastAsia="黑体" w:cs="黑体"/>
          <w:sz w:val="32"/>
          <w:szCs w:val="24"/>
          <w:u w:val="single"/>
        </w:rPr>
        <w:t xml:space="preserve">        中等职业教育          </w:t>
      </w:r>
    </w:p>
    <w:p>
      <w:pPr>
        <w:spacing w:line="800" w:lineRule="exact"/>
        <w:ind w:left="839"/>
        <w:rPr>
          <w:rFonts w:ascii="黑体" w:hAnsi="黑体" w:eastAsia="黑体" w:cs="黑体"/>
          <w:sz w:val="32"/>
          <w:szCs w:val="24"/>
        </w:rPr>
      </w:pPr>
      <w:r>
        <w:rPr>
          <w:rFonts w:hint="eastAsia" w:ascii="黑体" w:hAnsi="黑体" w:eastAsia="黑体" w:cs="黑体"/>
          <w:sz w:val="32"/>
          <w:szCs w:val="24"/>
        </w:rPr>
        <w:t>赛项编号：</w:t>
      </w:r>
      <w:r>
        <w:rPr>
          <w:rFonts w:hint="eastAsia" w:ascii="黑体" w:hAnsi="黑体" w:eastAsia="黑体" w:cs="黑体"/>
          <w:sz w:val="32"/>
          <w:szCs w:val="24"/>
          <w:u w:val="single"/>
        </w:rPr>
        <w:t xml:space="preserve">            ZZ020             </w:t>
      </w:r>
    </w:p>
    <w:p>
      <w:pPr>
        <w:jc w:val="center"/>
        <w:rPr>
          <w:rFonts w:ascii="Times New Roman" w:hAnsi="Times New Roman" w:eastAsia="宋体" w:cs="Times New Roman"/>
          <w:sz w:val="30"/>
        </w:rPr>
      </w:pPr>
    </w:p>
    <w:p>
      <w:pPr>
        <w:jc w:val="center"/>
        <w:rPr>
          <w:rFonts w:hint="eastAsia" w:ascii="Times New Roman" w:hAnsi="Times New Roman" w:eastAsia="宋体" w:cs="Times New Roman"/>
          <w:sz w:val="30"/>
          <w:lang w:eastAsia="zh-CN"/>
        </w:rPr>
      </w:pPr>
    </w:p>
    <w:p>
      <w:pPr>
        <w:widowControl/>
        <w:jc w:val="left"/>
        <w:rPr>
          <w:rFonts w:hint="eastAsia" w:ascii="黑体" w:eastAsia="黑体"/>
          <w:sz w:val="32"/>
          <w:lang w:eastAsia="zh-CN"/>
        </w:rPr>
        <w:sectPr>
          <w:footerReference r:id="rId3" w:type="default"/>
          <w:pgSz w:w="11906" w:h="16838"/>
          <w:pgMar w:top="1240" w:right="1800" w:bottom="1318" w:left="1800" w:header="851" w:footer="992" w:gutter="0"/>
          <w:pgNumType w:fmt="decimal"/>
          <w:cols w:space="720" w:num="1"/>
          <w:docGrid w:type="lines" w:linePitch="312" w:charSpace="0"/>
        </w:sectPr>
      </w:pPr>
    </w:p>
    <w:p>
      <w:pPr>
        <w:pStyle w:val="3"/>
        <w:bidi w:val="0"/>
        <w:rPr>
          <w:b w:val="0"/>
          <w:bCs/>
        </w:rPr>
      </w:pPr>
      <w:r>
        <w:rPr>
          <w:rFonts w:hint="eastAsia"/>
          <w:b w:val="0"/>
          <w:bCs/>
        </w:rPr>
        <w:t>一、赛项信息</w:t>
      </w:r>
    </w:p>
    <w:tbl>
      <w:tblPr>
        <w:tblStyle w:val="10"/>
        <w:tblW w:w="88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1497"/>
        <w:gridCol w:w="954"/>
        <w:gridCol w:w="775"/>
        <w:gridCol w:w="4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8831"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
                <w:bCs/>
                <w:sz w:val="28"/>
                <w:szCs w:val="28"/>
                <w:highlight w:val="none"/>
              </w:rPr>
              <w:t>赛项类别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8831"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sym w:font="Wingdings 2" w:char="0052"/>
            </w:r>
            <w:r>
              <w:rPr>
                <w:rFonts w:hint="eastAsia" w:ascii="仿宋_GB2312" w:hAnsi="仿宋_GB2312" w:eastAsia="仿宋_GB2312" w:cs="仿宋_GB2312"/>
                <w:sz w:val="24"/>
                <w:szCs w:val="24"/>
                <w:highlight w:val="none"/>
              </w:rPr>
              <w:t xml:space="preserve">每年赛    </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rPr>
              <w:t>隔年赛（</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单</w:t>
            </w:r>
            <w:r>
              <w:rPr>
                <w:rFonts w:hint="eastAsia" w:ascii="仿宋_GB2312" w:hAnsi="仿宋_GB2312" w:eastAsia="仿宋_GB2312" w:cs="仿宋_GB2312"/>
                <w:sz w:val="24"/>
                <w:szCs w:val="24"/>
                <w:highlight w:val="none"/>
              </w:rPr>
              <w:t>数年/</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双</w:t>
            </w:r>
            <w:r>
              <w:rPr>
                <w:rFonts w:hint="eastAsia" w:ascii="仿宋_GB2312" w:hAnsi="仿宋_GB2312" w:eastAsia="仿宋_GB2312" w:cs="仿宋_GB2312"/>
                <w:sz w:val="24"/>
                <w:szCs w:val="24"/>
                <w:highlight w:val="none"/>
              </w:rPr>
              <w:t>数年）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8831"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
                <w:bCs/>
                <w:sz w:val="28"/>
                <w:szCs w:val="28"/>
                <w:highlight w:val="none"/>
              </w:rPr>
              <w:t>赛项组别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8831" w:type="dxa"/>
            <w:gridSpan w:val="5"/>
            <w:vAlign w:val="bottom"/>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sym w:font="Wingdings 2" w:char="0052"/>
            </w:r>
            <w:r>
              <w:rPr>
                <w:rFonts w:hint="eastAsia" w:ascii="仿宋_GB2312" w:hAnsi="仿宋_GB2312" w:eastAsia="仿宋_GB2312" w:cs="仿宋_GB2312"/>
                <w:sz w:val="24"/>
                <w:szCs w:val="24"/>
                <w:highlight w:val="none"/>
              </w:rPr>
              <w:t>中等职业教育   □高等职业教育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8831"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sym w:font="Wingdings 2" w:char="0052"/>
            </w:r>
            <w:r>
              <w:rPr>
                <w:rFonts w:hint="eastAsia" w:ascii="仿宋_GB2312" w:hAnsi="仿宋_GB2312" w:eastAsia="仿宋_GB2312" w:cs="仿宋_GB2312"/>
                <w:sz w:val="24"/>
                <w:szCs w:val="24"/>
                <w:highlight w:val="none"/>
              </w:rPr>
              <w:t>学生赛（□个人/</w:t>
            </w:r>
            <w:r>
              <w:rPr>
                <w:rFonts w:hint="eastAsia" w:ascii="仿宋_GB2312" w:hAnsi="仿宋_GB2312" w:eastAsia="仿宋_GB2312" w:cs="仿宋_GB2312"/>
                <w:sz w:val="24"/>
                <w:szCs w:val="24"/>
                <w:highlight w:val="none"/>
              </w:rPr>
              <w:sym w:font="Wingdings 2" w:char="0052"/>
            </w:r>
            <w:r>
              <w:rPr>
                <w:rFonts w:hint="eastAsia" w:ascii="仿宋_GB2312" w:hAnsi="仿宋_GB2312" w:eastAsia="仿宋_GB2312" w:cs="仿宋_GB2312"/>
                <w:sz w:val="24"/>
                <w:szCs w:val="24"/>
                <w:highlight w:val="none"/>
              </w:rPr>
              <w:t>团体） □教师赛（试点） □师生</w:t>
            </w:r>
            <w:r>
              <w:rPr>
                <w:rFonts w:hint="eastAsia" w:ascii="仿宋_GB2312" w:hAnsi="仿宋_GB2312" w:eastAsia="仿宋_GB2312" w:cs="仿宋_GB2312"/>
                <w:sz w:val="24"/>
                <w:szCs w:val="24"/>
                <w:highlight w:val="none"/>
                <w:lang w:val="en-US" w:eastAsia="zh-CN"/>
              </w:rPr>
              <w:t>同赛</w:t>
            </w:r>
            <w:r>
              <w:rPr>
                <w:rFonts w:hint="eastAsia" w:ascii="仿宋_GB2312" w:hAnsi="仿宋_GB2312" w:eastAsia="仿宋_GB2312" w:cs="仿宋_GB2312"/>
                <w:sz w:val="24"/>
                <w:szCs w:val="24"/>
                <w:highlight w:val="none"/>
              </w:rPr>
              <w:t>（试点）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8831"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
                <w:bCs/>
                <w:sz w:val="28"/>
                <w:szCs w:val="28"/>
                <w:highlight w:val="none"/>
              </w:rPr>
              <w:t>涉及专业大类、专业类、专业及核心课程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atLeast"/>
        </w:trPr>
        <w:tc>
          <w:tcPr>
            <w:tcW w:w="132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专业大类</w:t>
            </w:r>
          </w:p>
        </w:tc>
        <w:tc>
          <w:tcPr>
            <w:tcW w:w="14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专业类</w:t>
            </w:r>
          </w:p>
        </w:tc>
        <w:tc>
          <w:tcPr>
            <w:tcW w:w="172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专业名称</w:t>
            </w:r>
          </w:p>
        </w:tc>
        <w:tc>
          <w:tcPr>
            <w:tcW w:w="427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核心课程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1"/>
                <w:szCs w:val="21"/>
                <w:highlight w:val="none"/>
              </w:rPr>
              <w:t>（对应每个专业，明确涉及的专业核心课程）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132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财经商贸</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73</w:t>
            </w:r>
            <w:r>
              <w:rPr>
                <w:rFonts w:hint="eastAsia" w:ascii="仿宋_GB2312" w:hAnsi="仿宋_GB2312" w:eastAsia="仿宋_GB2312" w:cs="仿宋_GB2312"/>
                <w:sz w:val="24"/>
                <w:szCs w:val="24"/>
                <w:highlight w:val="none"/>
                <w:lang w:eastAsia="zh-CN"/>
              </w:rPr>
              <w:t>）</w:t>
            </w:r>
          </w:p>
        </w:tc>
        <w:tc>
          <w:tcPr>
            <w:tcW w:w="149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电子商务类</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7307</w:t>
            </w:r>
            <w:r>
              <w:rPr>
                <w:rFonts w:hint="eastAsia" w:ascii="仿宋_GB2312" w:hAnsi="仿宋_GB2312" w:eastAsia="仿宋_GB2312" w:cs="仿宋_GB2312"/>
                <w:sz w:val="24"/>
                <w:szCs w:val="24"/>
                <w:highlight w:val="none"/>
                <w:lang w:eastAsia="zh-CN"/>
              </w:rPr>
              <w:t>）</w:t>
            </w:r>
          </w:p>
        </w:tc>
        <w:tc>
          <w:tcPr>
            <w:tcW w:w="1729"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电子商务</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730701</w:t>
            </w:r>
            <w:r>
              <w:rPr>
                <w:rFonts w:hint="eastAsia" w:ascii="仿宋_GB2312" w:hAnsi="仿宋_GB2312" w:eastAsia="仿宋_GB2312" w:cs="仿宋_GB2312"/>
                <w:sz w:val="24"/>
                <w:szCs w:val="24"/>
                <w:highlight w:val="none"/>
                <w:lang w:eastAsia="zh-CN"/>
              </w:rPr>
              <w:t>）</w:t>
            </w:r>
          </w:p>
        </w:tc>
        <w:tc>
          <w:tcPr>
            <w:tcW w:w="4276" w:type="dxa"/>
            <w:vAlign w:val="bottom"/>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网络推广实务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13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149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172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highlight w:val="none"/>
              </w:rPr>
            </w:pPr>
          </w:p>
        </w:tc>
        <w:tc>
          <w:tcPr>
            <w:tcW w:w="4276" w:type="dxa"/>
            <w:vAlign w:val="bottom"/>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视觉设计与制作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13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149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172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highlight w:val="none"/>
              </w:rPr>
            </w:pPr>
          </w:p>
        </w:tc>
        <w:tc>
          <w:tcPr>
            <w:tcW w:w="4276" w:type="dxa"/>
            <w:vAlign w:val="bottom"/>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直播销售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13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149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172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highlight w:val="none"/>
              </w:rPr>
            </w:pPr>
          </w:p>
        </w:tc>
        <w:tc>
          <w:tcPr>
            <w:tcW w:w="4276" w:type="dxa"/>
            <w:vAlign w:val="bottom"/>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直播运营实务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13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149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172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highlight w:val="none"/>
              </w:rPr>
            </w:pPr>
          </w:p>
        </w:tc>
        <w:tc>
          <w:tcPr>
            <w:tcW w:w="4276" w:type="dxa"/>
            <w:vAlign w:val="bottom"/>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客户服务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atLeast"/>
        </w:trPr>
        <w:tc>
          <w:tcPr>
            <w:tcW w:w="13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149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172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移动商务</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730703</w:t>
            </w:r>
            <w:r>
              <w:rPr>
                <w:rFonts w:hint="eastAsia" w:ascii="仿宋_GB2312" w:hAnsi="仿宋_GB2312" w:eastAsia="仿宋_GB2312" w:cs="仿宋_GB2312"/>
                <w:sz w:val="24"/>
                <w:szCs w:val="24"/>
                <w:highlight w:val="none"/>
                <w:lang w:eastAsia="zh-CN"/>
              </w:rPr>
              <w:t>）</w:t>
            </w:r>
          </w:p>
        </w:tc>
        <w:tc>
          <w:tcPr>
            <w:tcW w:w="427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移动视觉设计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atLeast"/>
        </w:trPr>
        <w:tc>
          <w:tcPr>
            <w:tcW w:w="13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149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172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网络营销</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730704</w:t>
            </w:r>
            <w:r>
              <w:rPr>
                <w:rFonts w:hint="eastAsia" w:ascii="仿宋_GB2312" w:hAnsi="仿宋_GB2312" w:eastAsia="仿宋_GB2312" w:cs="仿宋_GB2312"/>
                <w:sz w:val="24"/>
                <w:szCs w:val="24"/>
                <w:highlight w:val="none"/>
                <w:lang w:eastAsia="zh-CN"/>
              </w:rPr>
              <w:t>）</w:t>
            </w:r>
          </w:p>
        </w:tc>
        <w:tc>
          <w:tcPr>
            <w:tcW w:w="427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企业网络营销实务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13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149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1729"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直播电商服务</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730705</w:t>
            </w:r>
            <w:r>
              <w:rPr>
                <w:rFonts w:hint="eastAsia" w:ascii="仿宋_GB2312" w:hAnsi="仿宋_GB2312" w:eastAsia="仿宋_GB2312" w:cs="仿宋_GB2312"/>
                <w:sz w:val="24"/>
                <w:szCs w:val="24"/>
                <w:highlight w:val="none"/>
                <w:lang w:eastAsia="zh-CN"/>
              </w:rPr>
              <w:t>）</w:t>
            </w:r>
          </w:p>
        </w:tc>
        <w:tc>
          <w:tcPr>
            <w:tcW w:w="427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直播客户服务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13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149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172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4276" w:type="dxa"/>
            <w:vAlign w:val="bottom"/>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短视频拍摄与剪辑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8831"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
                <w:bCs/>
                <w:sz w:val="28"/>
                <w:szCs w:val="28"/>
                <w:highlight w:val="none"/>
              </w:rPr>
              <w:t>对接产业行业、对应岗位（群）及核心能力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atLeast"/>
        </w:trPr>
        <w:tc>
          <w:tcPr>
            <w:tcW w:w="132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产业行业</w:t>
            </w:r>
          </w:p>
        </w:tc>
        <w:tc>
          <w:tcPr>
            <w:tcW w:w="245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岗位（群）</w:t>
            </w:r>
          </w:p>
        </w:tc>
        <w:tc>
          <w:tcPr>
            <w:tcW w:w="505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核心能力</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1"/>
                <w:szCs w:val="21"/>
                <w:highlight w:val="none"/>
              </w:rPr>
              <w:t>（对应每个岗位（群），明确核心能力要求）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132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互联网和相关服务</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64)、批发业</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51)、零售业</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52)</w:t>
            </w:r>
          </w:p>
        </w:tc>
        <w:tc>
          <w:tcPr>
            <w:tcW w:w="2451"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网店运营</w:t>
            </w:r>
          </w:p>
        </w:tc>
        <w:tc>
          <w:tcPr>
            <w:tcW w:w="505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网店运营决策能力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13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245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505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店铺、账号创设和维护能力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13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245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505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平台维护、文案撰写、文案编辑与发布能力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13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2451"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网络营销推广</w:t>
            </w:r>
          </w:p>
        </w:tc>
        <w:tc>
          <w:tcPr>
            <w:tcW w:w="505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网络营销推广方案制定能力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13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245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505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网络营销推广执行能力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13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245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505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推广数据分析与优化能力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13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2451"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直播销售</w:t>
            </w:r>
          </w:p>
        </w:tc>
        <w:tc>
          <w:tcPr>
            <w:tcW w:w="505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直播脚本策划能力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13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245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505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直播商品卖点提炼能力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13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245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505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直播控场能力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13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245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505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直播销售能力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13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245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505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直播促单能力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13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2451"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客户服务</w:t>
            </w:r>
          </w:p>
        </w:tc>
        <w:tc>
          <w:tcPr>
            <w:tcW w:w="505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客户需求分析能力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13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245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505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客户问题处理能力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13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245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505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客户异议处理能力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13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245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505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客户转化能力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13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2451"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网店美工</w:t>
            </w:r>
          </w:p>
        </w:tc>
        <w:tc>
          <w:tcPr>
            <w:tcW w:w="505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网店视觉设计能力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13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245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505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图文制作能力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132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245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highlight w:val="none"/>
              </w:rPr>
            </w:pPr>
          </w:p>
        </w:tc>
        <w:tc>
          <w:tcPr>
            <w:tcW w:w="505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商品短视频设计与</w:t>
            </w:r>
            <w:r>
              <w:rPr>
                <w:rFonts w:hint="eastAsia" w:ascii="仿宋_GB2312" w:hAnsi="仿宋_GB2312" w:eastAsia="仿宋_GB2312" w:cs="仿宋_GB2312"/>
                <w:sz w:val="24"/>
                <w:szCs w:val="24"/>
                <w:highlight w:val="none"/>
                <w:lang w:val="en-US" w:eastAsia="zh-CN"/>
              </w:rPr>
              <w:t>制作</w:t>
            </w:r>
            <w:r>
              <w:rPr>
                <w:rFonts w:hint="eastAsia" w:ascii="仿宋_GB2312" w:hAnsi="仿宋_GB2312" w:eastAsia="仿宋_GB2312" w:cs="仿宋_GB2312"/>
                <w:sz w:val="24"/>
                <w:szCs w:val="24"/>
                <w:highlight w:val="none"/>
              </w:rPr>
              <w:t>能力</w:t>
            </w:r>
          </w:p>
        </w:tc>
      </w:tr>
    </w:tbl>
    <w:p>
      <w:pPr>
        <w:rPr>
          <w:rFonts w:hint="eastAsia"/>
        </w:rPr>
      </w:pPr>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b w:val="0"/>
          <w:bCs/>
        </w:rPr>
      </w:pPr>
      <w:r>
        <w:rPr>
          <w:rFonts w:hint="eastAsia"/>
          <w:b w:val="0"/>
          <w:bCs/>
        </w:rPr>
        <w:t>二、竞赛目标</w:t>
      </w:r>
    </w:p>
    <w:p>
      <w:pPr>
        <w:pStyle w:val="3"/>
        <w:bidi w:val="0"/>
        <w:ind w:firstLine="560" w:firstLineChars="200"/>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本赛项坚持“以高水平赛事推动职业教育高质量发展”为主线，融入新思想、新理念，对接产业前沿技术和行业标准，以职业需求为导向，以实践能力培养为重点，深化产教融合、校企合作，推进“三教”改革，坚持以赛促教、以赛促学、以赛促改，引领中等职业院校电子商务、移动商务、网络营销、直播电商服务等专业建设与教学改革。赛项聚焦电子商务运营中的网店开设装修、网店运营与推广、直播销售及客户服务，检验参赛选手的职业道德、职业素养和技术技能水平，充分发挥技能大赛对职业教育“树旗、导航、定标、催化”的作用，推动“岗课赛证”综合育人，展示职业教育改革成果与人才培养质量。</w:t>
      </w:r>
    </w:p>
    <w:p>
      <w:pPr>
        <w:pStyle w:val="3"/>
        <w:bidi w:val="0"/>
        <w:ind w:firstLine="640" w:firstLineChars="200"/>
        <w:rPr>
          <w:rFonts w:hint="eastAsia"/>
          <w:b w:val="0"/>
          <w:bCs/>
        </w:rPr>
      </w:pPr>
      <w:r>
        <w:rPr>
          <w:rFonts w:hint="eastAsia"/>
          <w:b w:val="0"/>
          <w:bCs/>
          <w:lang w:val="en-US" w:eastAsia="zh-CN"/>
        </w:rPr>
        <w:t>三、</w:t>
      </w:r>
      <w:r>
        <w:rPr>
          <w:rFonts w:hint="eastAsia"/>
          <w:b w:val="0"/>
          <w:bCs/>
        </w:rPr>
        <w:t>竞赛内容</w:t>
      </w:r>
    </w:p>
    <w:p>
      <w:pPr>
        <w:keepNext w:val="0"/>
        <w:keepLines w:val="0"/>
        <w:pageBreakBefore w:val="0"/>
        <w:widowControl w:val="0"/>
        <w:kinsoku/>
        <w:wordWrap/>
        <w:overflowPunct/>
        <w:topLinePunct w:val="0"/>
        <w:autoSpaceDE/>
        <w:autoSpaceDN/>
        <w:bidi w:val="0"/>
        <w:adjustRightInd/>
        <w:snapToGrid/>
        <w:spacing w:line="360" w:lineRule="auto"/>
        <w:ind w:firstLine="280" w:firstLineChars="1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（一）赛项整体内容介绍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赛项按照国家“十四五”电子商务发展规划中提出的“深化创新驱动，塑造高质量电子商务产业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推进商产融合，助力产业数字化转型”等精神，不断深入贯彻落实党中央、国务院关于发展数字经济、建设数字中国的总体要求。面向网店运营、网络营销推广、直播销售、客户服务、网店美工等岗位（群），以网店规划与注册、网店首页设计与制作、商品主图视频设计与制作、商品详情页设计与制作、网店运营推广方案制定、网店运营推广实施、网店运营推广数据分析与应用、直播销售、智能客服问答处理、客户异议处理等典型工作任务的完成质量以及职业素养</w:t>
      </w:r>
      <w:r>
        <w:rPr>
          <w:rFonts w:hint="eastAsia" w:ascii="仿宋_GB2312" w:hAnsi="仿宋_GB2312" w:eastAsia="仿宋_GB2312" w:cs="仿宋_GB2312"/>
          <w:sz w:val="28"/>
          <w:szCs w:val="28"/>
          <w:lang w:val="en-US" w:eastAsia="zh-CN"/>
        </w:rPr>
        <w:t>水平</w:t>
      </w:r>
      <w:r>
        <w:rPr>
          <w:rFonts w:hint="eastAsia" w:ascii="仿宋_GB2312" w:hAnsi="仿宋_GB2312" w:eastAsia="仿宋_GB2312" w:cs="仿宋_GB2312"/>
          <w:sz w:val="28"/>
          <w:szCs w:val="28"/>
        </w:rPr>
        <w:t>作为竞赛内容，着重</w:t>
      </w:r>
      <w:r>
        <w:rPr>
          <w:rFonts w:hint="eastAsia" w:ascii="仿宋_GB2312" w:hAnsi="仿宋_GB2312" w:eastAsia="仿宋_GB2312" w:cs="仿宋_GB2312"/>
          <w:sz w:val="28"/>
          <w:szCs w:val="28"/>
          <w:lang w:val="en-US" w:eastAsia="zh-CN"/>
        </w:rPr>
        <w:t>检验</w:t>
      </w:r>
      <w:r>
        <w:rPr>
          <w:rFonts w:hint="eastAsia" w:ascii="仿宋_GB2312" w:hAnsi="仿宋_GB2312" w:eastAsia="仿宋_GB2312" w:cs="仿宋_GB2312"/>
          <w:sz w:val="28"/>
          <w:szCs w:val="28"/>
        </w:rPr>
        <w:t>参赛选手的网店运营决策能力、店铺账号创设和维护能力、平台维护能力、文案处理能力、网络营销方案制定和执行能力、数据分析与优化能力、直播策划控场销售能力、客户需求分析处理转化能力、网店视觉设计能力、图文制作能力、短视频设计与制作能力等专业核心能力以及创新</w:t>
      </w:r>
      <w:r>
        <w:rPr>
          <w:rFonts w:hint="eastAsia" w:ascii="仿宋_GB2312" w:hAnsi="仿宋_GB2312" w:eastAsia="仿宋_GB2312" w:cs="仿宋_GB2312"/>
          <w:sz w:val="28"/>
          <w:szCs w:val="28"/>
          <w:lang w:val="en-US" w:eastAsia="zh-CN"/>
        </w:rPr>
        <w:t>理念</w:t>
      </w:r>
      <w:r>
        <w:rPr>
          <w:rFonts w:hint="eastAsia" w:ascii="仿宋_GB2312" w:hAnsi="仿宋_GB2312" w:eastAsia="仿宋_GB2312" w:cs="仿宋_GB2312"/>
          <w:sz w:val="28"/>
          <w:szCs w:val="28"/>
        </w:rPr>
        <w:t>、规范意识、风险意识和团队协作</w:t>
      </w:r>
      <w:r>
        <w:rPr>
          <w:rFonts w:hint="eastAsia" w:ascii="仿宋_GB2312" w:hAnsi="仿宋_GB2312" w:eastAsia="仿宋_GB2312" w:cs="仿宋_GB2312"/>
          <w:sz w:val="28"/>
          <w:szCs w:val="28"/>
          <w:lang w:val="en-US" w:eastAsia="zh-CN"/>
        </w:rPr>
        <w:t>精神</w:t>
      </w:r>
      <w:r>
        <w:rPr>
          <w:rFonts w:hint="eastAsia" w:ascii="仿宋_GB2312" w:hAnsi="仿宋_GB2312" w:eastAsia="仿宋_GB2312" w:cs="仿宋_GB2312"/>
          <w:sz w:val="28"/>
          <w:szCs w:val="28"/>
        </w:rPr>
        <w:t>等</w:t>
      </w:r>
      <w:r>
        <w:rPr>
          <w:rFonts w:hint="eastAsia" w:ascii="仿宋_GB2312" w:hAnsi="仿宋_GB2312" w:eastAsia="仿宋_GB2312" w:cs="仿宋_GB2312"/>
          <w:sz w:val="28"/>
          <w:szCs w:val="28"/>
          <w:lang w:val="en-US" w:eastAsia="zh-CN"/>
        </w:rPr>
        <w:t>职业综合能力</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通过优化赛项模块，创新性地将短视频设计与制作、智能客户服务等新技术、新业态融入竞赛内容。</w:t>
      </w: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表3-1 竞赛内容与成绩比例</w:t>
      </w:r>
    </w:p>
    <w:tbl>
      <w:tblPr>
        <w:tblStyle w:val="11"/>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25"/>
        <w:gridCol w:w="6050"/>
        <w:gridCol w:w="12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4" w:hRule="atLeast"/>
          <w:jc w:val="center"/>
        </w:trPr>
        <w:tc>
          <w:tcPr>
            <w:tcW w:w="17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竞赛模块</w:t>
            </w:r>
          </w:p>
        </w:tc>
        <w:tc>
          <w:tcPr>
            <w:tcW w:w="60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竞赛内容</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成绩比例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6" w:hRule="atLeast"/>
          <w:jc w:val="center"/>
        </w:trPr>
        <w:tc>
          <w:tcPr>
            <w:tcW w:w="172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网店开设装修</w:t>
            </w:r>
          </w:p>
        </w:tc>
        <w:tc>
          <w:tcPr>
            <w:tcW w:w="6050" w:type="dxa"/>
            <w:vAlign w:val="center"/>
          </w:tcPr>
          <w:p>
            <w:pPr>
              <w:pStyle w:val="9"/>
              <w:keepNext w:val="0"/>
              <w:keepLines w:val="0"/>
              <w:pageBreakBefore w:val="0"/>
              <w:widowControl w:val="0"/>
              <w:tabs>
                <w:tab w:val="left" w:pos="2369"/>
              </w:tabs>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根据电子商务法律法规及给定企业背景素材进行网店规划与注册，并结合视觉营销规范进行网店首页、商品主图视频、商品详情页的设计与制作。</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54" w:hRule="atLeast"/>
          <w:jc w:val="center"/>
        </w:trPr>
        <w:tc>
          <w:tcPr>
            <w:tcW w:w="172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网店运营推广</w:t>
            </w:r>
          </w:p>
        </w:tc>
        <w:tc>
          <w:tcPr>
            <w:tcW w:w="6050" w:type="dxa"/>
            <w:vAlign w:val="center"/>
          </w:tcPr>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根据网店经营目标，在给定的推广资金及相同的竞争环境下，对网店相关数据进行分析，制定并实施运营推广方案，并在运营过程中对每个运营周期的效果数据进行分析诊断并优化，持续提高网店竞争力及盈利能力。</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2" w:hRule="atLeast"/>
          <w:jc w:val="center"/>
        </w:trPr>
        <w:tc>
          <w:tcPr>
            <w:tcW w:w="1725" w:type="dxa"/>
            <w:vAlign w:val="center"/>
          </w:tcPr>
          <w:p>
            <w:pPr>
              <w:pStyle w:val="5"/>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直播销售及客户服务</w:t>
            </w:r>
          </w:p>
        </w:tc>
        <w:tc>
          <w:tcPr>
            <w:tcW w:w="6050" w:type="dxa"/>
            <w:vAlign w:val="center"/>
          </w:tcPr>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根据给定的背景信息，结合任务要求，进行直播商品的营销属性提炼、直播脚本策划、直播销售活动、客户需求分析、客户问题处理、交易促成、智能客服问答以及客户异议处理。</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35%</w:t>
            </w:r>
          </w:p>
        </w:tc>
      </w:tr>
    </w:tbl>
    <w:p>
      <w:pPr>
        <w:keepNext w:val="0"/>
        <w:keepLines w:val="0"/>
        <w:pageBreakBefore w:val="0"/>
        <w:widowControl w:val="0"/>
        <w:kinsoku/>
        <w:wordWrap/>
        <w:overflowPunct/>
        <w:topLinePunct w:val="0"/>
        <w:autoSpaceDE/>
        <w:autoSpaceDN/>
        <w:bidi w:val="0"/>
        <w:adjustRightInd/>
        <w:snapToGrid/>
        <w:spacing w:line="360" w:lineRule="auto"/>
        <w:ind w:firstLine="280" w:firstLineChars="1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（二）赛项模块详细内容介绍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本赛项主要包括网店开设装修、网店运营推广、</w:t>
      </w:r>
      <w:r>
        <w:rPr>
          <w:rFonts w:hint="eastAsia" w:ascii="仿宋_GB2312" w:hAnsi="仿宋_GB2312" w:eastAsia="仿宋_GB2312" w:cs="仿宋_GB2312"/>
          <w:sz w:val="28"/>
          <w:szCs w:val="28"/>
          <w:lang w:eastAsia="zh-CN"/>
        </w:rPr>
        <w:t>直播销售及客户服务</w:t>
      </w:r>
      <w:r>
        <w:rPr>
          <w:rFonts w:hint="eastAsia" w:ascii="仿宋_GB2312" w:hAnsi="仿宋_GB2312" w:eastAsia="仿宋_GB2312" w:cs="仿宋_GB2312"/>
          <w:sz w:val="28"/>
          <w:szCs w:val="28"/>
        </w:rPr>
        <w:t>三个模块，模块主要内容、比赛时长及分值如下表所示：</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rPr>
      </w:pPr>
      <w:r>
        <w:rPr>
          <w:rFonts w:hint="eastAsia" w:ascii="黑体" w:hAnsi="黑体" w:eastAsia="黑体" w:cs="黑体"/>
          <w:sz w:val="24"/>
          <w:szCs w:val="24"/>
        </w:rPr>
        <w:t>表3-2 赛项模块主要内容、比赛时长及分值</w:t>
      </w:r>
    </w:p>
    <w:tbl>
      <w:tblPr>
        <w:tblStyle w:val="11"/>
        <w:tblW w:w="886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95"/>
        <w:gridCol w:w="1370"/>
        <w:gridCol w:w="3704"/>
        <w:gridCol w:w="1410"/>
        <w:gridCol w:w="9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2765" w:type="dxa"/>
            <w:gridSpan w:val="2"/>
            <w:vAlign w:val="bottom"/>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模块</w:t>
            </w:r>
          </w:p>
        </w:tc>
        <w:tc>
          <w:tcPr>
            <w:tcW w:w="3704" w:type="dxa"/>
            <w:vAlign w:val="bottom"/>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主要内容</w:t>
            </w:r>
          </w:p>
        </w:tc>
        <w:tc>
          <w:tcPr>
            <w:tcW w:w="1410" w:type="dxa"/>
            <w:vAlign w:val="bottom"/>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比赛时长</w:t>
            </w:r>
          </w:p>
        </w:tc>
        <w:tc>
          <w:tcPr>
            <w:tcW w:w="990" w:type="dxa"/>
            <w:vAlign w:val="bottom"/>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8" w:hRule="atLeast"/>
          <w:jc w:val="center"/>
        </w:trPr>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模块一</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网店开设装修</w:t>
            </w:r>
          </w:p>
        </w:tc>
        <w:tc>
          <w:tcPr>
            <w:tcW w:w="370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任务1：网店规划与注册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w:t>
            </w:r>
            <w:r>
              <w:rPr>
                <w:rFonts w:hint="eastAsia" w:ascii="仿宋_GB2312" w:hAnsi="仿宋_GB2312" w:eastAsia="仿宋_GB2312" w:cs="仿宋_GB2312"/>
                <w:sz w:val="24"/>
                <w:szCs w:val="24"/>
                <w:lang w:val="en-US" w:eastAsia="zh-CN"/>
              </w:rPr>
              <w:t>给定</w:t>
            </w:r>
            <w:r>
              <w:rPr>
                <w:rFonts w:hint="eastAsia" w:ascii="仿宋_GB2312" w:hAnsi="仿宋_GB2312" w:eastAsia="仿宋_GB2312" w:cs="仿宋_GB2312"/>
                <w:sz w:val="24"/>
                <w:szCs w:val="24"/>
              </w:rPr>
              <w:t>企业</w:t>
            </w:r>
            <w:r>
              <w:rPr>
                <w:rFonts w:hint="eastAsia" w:ascii="仿宋_GB2312" w:hAnsi="仿宋_GB2312" w:eastAsia="仿宋_GB2312" w:cs="仿宋_GB2312"/>
                <w:sz w:val="24"/>
                <w:szCs w:val="24"/>
                <w:lang w:val="en-US" w:eastAsia="zh-CN"/>
              </w:rPr>
              <w:t>背景素材</w:t>
            </w:r>
            <w:r>
              <w:rPr>
                <w:rFonts w:hint="eastAsia" w:ascii="仿宋_GB2312" w:hAnsi="仿宋_GB2312" w:eastAsia="仿宋_GB2312" w:cs="仿宋_GB2312"/>
                <w:sz w:val="24"/>
                <w:szCs w:val="24"/>
              </w:rPr>
              <w:t>，进行网店规划，并按照网店注册流程完成网店开设。</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任务2：网店首页设计与制作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根据电子商务平台</w:t>
            </w:r>
            <w:r>
              <w:rPr>
                <w:rFonts w:hint="eastAsia" w:ascii="仿宋_GB2312" w:hAnsi="仿宋_GB2312" w:eastAsia="仿宋_GB2312" w:cs="仿宋_GB2312"/>
                <w:sz w:val="24"/>
                <w:szCs w:val="24"/>
                <w:lang w:val="en-US" w:eastAsia="zh-CN"/>
              </w:rPr>
              <w:t>技术规范</w:t>
            </w:r>
            <w:r>
              <w:rPr>
                <w:rFonts w:hint="eastAsia" w:ascii="仿宋_GB2312" w:hAnsi="仿宋_GB2312" w:eastAsia="仿宋_GB2312" w:cs="仿宋_GB2312"/>
                <w:sz w:val="24"/>
                <w:szCs w:val="24"/>
              </w:rPr>
              <w:t>与</w:t>
            </w:r>
            <w:r>
              <w:rPr>
                <w:rFonts w:hint="eastAsia" w:ascii="仿宋_GB2312" w:hAnsi="仿宋_GB2312" w:eastAsia="仿宋_GB2312" w:cs="仿宋_GB2312"/>
                <w:sz w:val="24"/>
                <w:szCs w:val="24"/>
                <w:lang w:val="en-US" w:eastAsia="zh-CN"/>
              </w:rPr>
              <w:t>考题要求</w:t>
            </w:r>
            <w:r>
              <w:rPr>
                <w:rFonts w:hint="eastAsia" w:ascii="仿宋_GB2312" w:hAnsi="仿宋_GB2312" w:eastAsia="仿宋_GB2312" w:cs="仿宋_GB2312"/>
                <w:sz w:val="24"/>
                <w:szCs w:val="24"/>
              </w:rPr>
              <w:t>，利用图片处理工具和商品素材，完成网店首页设计与制作。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任务3：商品主图视频设计与制作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根据网店运营需求及商品定位，</w:t>
            </w:r>
            <w:r>
              <w:rPr>
                <w:rFonts w:hint="eastAsia" w:ascii="仿宋_GB2312" w:hAnsi="仿宋_GB2312" w:eastAsia="仿宋_GB2312" w:cs="仿宋_GB2312"/>
                <w:sz w:val="24"/>
                <w:szCs w:val="24"/>
                <w:lang w:val="en-US" w:eastAsia="zh-CN"/>
              </w:rPr>
              <w:t>利用</w:t>
            </w:r>
            <w:r>
              <w:rPr>
                <w:rFonts w:hint="eastAsia" w:ascii="仿宋_GB2312" w:hAnsi="仿宋_GB2312" w:eastAsia="仿宋_GB2312" w:cs="仿宋_GB2312"/>
                <w:sz w:val="24"/>
                <w:szCs w:val="24"/>
              </w:rPr>
              <w:t>给定的</w:t>
            </w:r>
            <w:r>
              <w:rPr>
                <w:rFonts w:hint="eastAsia" w:ascii="仿宋_GB2312" w:hAnsi="仿宋_GB2312" w:eastAsia="仿宋_GB2312" w:cs="仿宋_GB2312"/>
                <w:sz w:val="24"/>
                <w:szCs w:val="24"/>
                <w:lang w:val="en-US" w:eastAsia="zh-CN"/>
              </w:rPr>
              <w:t>图片和视频</w:t>
            </w:r>
            <w:r>
              <w:rPr>
                <w:rFonts w:hint="eastAsia" w:ascii="仿宋_GB2312" w:hAnsi="仿宋_GB2312" w:eastAsia="仿宋_GB2312" w:cs="仿宋_GB2312"/>
                <w:sz w:val="24"/>
                <w:szCs w:val="24"/>
              </w:rPr>
              <w:t>素材，遵照商品主图视频设计规范</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平台规则</w:t>
            </w:r>
            <w:r>
              <w:rPr>
                <w:rFonts w:hint="eastAsia" w:ascii="仿宋_GB2312" w:hAnsi="仿宋_GB2312" w:eastAsia="仿宋_GB2312" w:cs="仿宋_GB2312"/>
                <w:sz w:val="24"/>
                <w:szCs w:val="24"/>
                <w:lang w:val="en-US" w:eastAsia="zh-CN"/>
              </w:rPr>
              <w:t>及考题要求</w:t>
            </w:r>
            <w:r>
              <w:rPr>
                <w:rFonts w:hint="eastAsia" w:ascii="仿宋_GB2312" w:hAnsi="仿宋_GB2312" w:eastAsia="仿宋_GB2312" w:cs="仿宋_GB2312"/>
                <w:sz w:val="24"/>
                <w:szCs w:val="24"/>
              </w:rPr>
              <w:t>，完成商品主图视频设计与制作</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并上传</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任务4：商品详情页设计与制作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根据电子商务平台要求，结合网店及商品定位，完成商品详情页设计与制作。</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120分钟</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2" w:hRule="atLeast"/>
          <w:jc w:val="center"/>
        </w:trPr>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模块二</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网店运营推广</w:t>
            </w:r>
          </w:p>
        </w:tc>
        <w:tc>
          <w:tcPr>
            <w:tcW w:w="370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任务1：网店运营推广方案制定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根据网店运营推广目标，分析市场数据，并制定网店运营推广方案。</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任务2：网店运营推广实施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根据推广方案及商品信息，进行搜索引擎推广、推荐引擎推广、搜索引擎优化，提高网店运营效果。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任务3：网店运营推广数据分析与应用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根据网店运营目标对网店运营推广数据分析，并进行推广策略优化。</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180分钟</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2" w:hRule="atLeast"/>
          <w:jc w:val="center"/>
        </w:trPr>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模块三</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直播销售及客户服务</w:t>
            </w:r>
          </w:p>
        </w:tc>
        <w:tc>
          <w:tcPr>
            <w:tcW w:w="370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任务1：直播销售</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根据直播要求进行直播策划，完成直播商品讲解</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上架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与观众进行</w:t>
            </w:r>
            <w:r>
              <w:rPr>
                <w:rFonts w:hint="eastAsia" w:ascii="仿宋_GB2312" w:hAnsi="仿宋_GB2312" w:eastAsia="仿宋_GB2312" w:cs="仿宋_GB2312"/>
                <w:sz w:val="24"/>
                <w:szCs w:val="24"/>
                <w:lang w:val="en-US" w:eastAsia="zh-CN"/>
              </w:rPr>
              <w:t>有效</w:t>
            </w:r>
            <w:r>
              <w:rPr>
                <w:rFonts w:hint="eastAsia" w:ascii="仿宋_GB2312" w:hAnsi="仿宋_GB2312" w:eastAsia="仿宋_GB2312" w:cs="仿宋_GB2312"/>
                <w:sz w:val="24"/>
                <w:szCs w:val="24"/>
              </w:rPr>
              <w:t>互动，把控直播节奏，活跃直播间氛围，提升直播间的转化率。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任务2：智能客服问答处理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针对</w:t>
            </w:r>
            <w:r>
              <w:rPr>
                <w:rFonts w:hint="eastAsia" w:ascii="仿宋_GB2312" w:hAnsi="仿宋_GB2312" w:eastAsia="仿宋_GB2312" w:cs="仿宋_GB2312"/>
                <w:sz w:val="24"/>
                <w:szCs w:val="24"/>
              </w:rPr>
              <w:t>客户需求，</w:t>
            </w:r>
            <w:r>
              <w:rPr>
                <w:rFonts w:hint="eastAsia" w:ascii="仿宋_GB2312" w:hAnsi="仿宋_GB2312" w:eastAsia="仿宋_GB2312" w:cs="仿宋_GB2312"/>
                <w:sz w:val="24"/>
                <w:szCs w:val="24"/>
                <w:lang w:val="en-US" w:eastAsia="zh-CN"/>
              </w:rPr>
              <w:t>进行</w:t>
            </w:r>
            <w:r>
              <w:rPr>
                <w:rFonts w:hint="eastAsia" w:ascii="仿宋_GB2312" w:hAnsi="仿宋_GB2312" w:eastAsia="仿宋_GB2312" w:cs="仿宋_GB2312"/>
                <w:sz w:val="24"/>
                <w:szCs w:val="24"/>
              </w:rPr>
              <w:t>客户问题</w:t>
            </w:r>
            <w:r>
              <w:rPr>
                <w:rFonts w:hint="eastAsia" w:ascii="仿宋_GB2312" w:hAnsi="仿宋_GB2312" w:eastAsia="仿宋_GB2312" w:cs="仿宋_GB2312"/>
                <w:sz w:val="24"/>
                <w:szCs w:val="24"/>
                <w:lang w:val="en-US" w:eastAsia="zh-CN"/>
              </w:rPr>
              <w:t>分类</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智能客服问答配置，匹配标准话术</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完成常见的售前、售中及售后问题处理，以提高客户服务效率。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任务3：客户异议处理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w:t>
            </w:r>
            <w:r>
              <w:rPr>
                <w:rFonts w:hint="eastAsia" w:ascii="仿宋_GB2312" w:hAnsi="仿宋_GB2312" w:eastAsia="仿宋_GB2312" w:cs="仿宋_GB2312"/>
                <w:sz w:val="24"/>
                <w:szCs w:val="24"/>
                <w:lang w:val="en-US" w:eastAsia="zh-CN"/>
              </w:rPr>
              <w:t>提供的资料</w:t>
            </w:r>
            <w:r>
              <w:rPr>
                <w:rFonts w:hint="eastAsia" w:ascii="仿宋_GB2312" w:hAnsi="仿宋_GB2312" w:eastAsia="仿宋_GB2312" w:cs="仿宋_GB2312"/>
                <w:sz w:val="24"/>
                <w:szCs w:val="24"/>
              </w:rPr>
              <w:t>，判断客户异议类型，分析异议产生的原因，并提出合理有效的解决</w:t>
            </w:r>
            <w:r>
              <w:rPr>
                <w:rFonts w:hint="eastAsia" w:ascii="仿宋_GB2312" w:hAnsi="仿宋_GB2312" w:eastAsia="仿宋_GB2312" w:cs="仿宋_GB2312"/>
                <w:sz w:val="24"/>
                <w:szCs w:val="24"/>
                <w:lang w:val="en-US" w:eastAsia="zh-CN"/>
              </w:rPr>
              <w:t>方案</w:t>
            </w:r>
            <w:r>
              <w:rPr>
                <w:rFonts w:hint="eastAsia" w:ascii="仿宋_GB2312" w:hAnsi="仿宋_GB2312" w:eastAsia="仿宋_GB2312" w:cs="仿宋_GB2312"/>
                <w:sz w:val="24"/>
                <w:szCs w:val="24"/>
              </w:rPr>
              <w:t>。</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150分钟</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35分</w:t>
            </w:r>
          </w:p>
        </w:tc>
      </w:tr>
    </w:tbl>
    <w:p>
      <w:pPr>
        <w:pStyle w:val="3"/>
        <w:bidi w:val="0"/>
        <w:rPr>
          <w:b w:val="0"/>
          <w:bCs/>
        </w:rPr>
      </w:pPr>
      <w:r>
        <w:rPr>
          <w:b w:val="0"/>
          <w:bCs/>
        </w:rPr>
        <w:t>四</w:t>
      </w:r>
      <w:r>
        <w:rPr>
          <w:rFonts w:hint="eastAsia"/>
          <w:b w:val="0"/>
          <w:bCs/>
        </w:rPr>
        <w:t>、</w:t>
      </w:r>
      <w:r>
        <w:rPr>
          <w:b w:val="0"/>
          <w:bCs/>
        </w:rPr>
        <w:t>竞赛方式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一</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竞赛形式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本赛项竞赛形式为线下比赛。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二</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组队方式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本赛项为团体赛。以院校为单位组队参赛，不得跨校组队，同一学校报名参赛队不超过1支，每队4名选手，不超过2名指导教师。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赛选手须为中等职业学校全日制在籍学生（以报名时学籍信息为准）或五年制高职学生一至三年级（含三年级）学生，凡在往届全国职业院校技能大赛中获一等奖的选手，不能再参加同一项目同一组别的比赛；指导教师须为本校专兼职教师，指导教师负责参赛选手的报名、训练指导、服务，比赛期间参赛选手的日常管理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本赛项不邀请国（境）外团队参赛。</w:t>
      </w:r>
    </w:p>
    <w:p>
      <w:pPr>
        <w:pStyle w:val="3"/>
        <w:bidi w:val="0"/>
        <w:rPr>
          <w:b w:val="0"/>
          <w:bCs/>
        </w:rPr>
      </w:pPr>
      <w:r>
        <w:rPr>
          <w:rFonts w:hint="eastAsia"/>
          <w:b w:val="0"/>
          <w:bCs/>
        </w:rPr>
        <w:t>五、竞赛流程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4"/>
          <w:szCs w:val="24"/>
        </w:rPr>
        <w:t>表5-1 竞赛日程、比赛场次、竞技过程安排</w:t>
      </w:r>
    </w:p>
    <w:tbl>
      <w:tblPr>
        <w:tblStyle w:val="1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1940"/>
        <w:gridCol w:w="2283"/>
        <w:gridCol w:w="2010"/>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日期</w:t>
            </w:r>
          </w:p>
        </w:tc>
        <w:tc>
          <w:tcPr>
            <w:tcW w:w="1138"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时间</w:t>
            </w:r>
          </w:p>
        </w:tc>
        <w:tc>
          <w:tcPr>
            <w:tcW w:w="134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事项</w:t>
            </w:r>
          </w:p>
        </w:tc>
        <w:tc>
          <w:tcPr>
            <w:tcW w:w="117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参加人员</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报到日</w:t>
            </w:r>
          </w:p>
        </w:tc>
        <w:tc>
          <w:tcPr>
            <w:tcW w:w="1138"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08:00～13:00</w:t>
            </w:r>
          </w:p>
        </w:tc>
        <w:tc>
          <w:tcPr>
            <w:tcW w:w="134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参赛队报到，安排住宿，领取</w:t>
            </w:r>
            <w:r>
              <w:rPr>
                <w:rFonts w:hint="eastAsia" w:ascii="仿宋_GB2312" w:hAnsi="仿宋_GB2312" w:eastAsia="仿宋_GB2312" w:cs="仿宋_GB2312"/>
                <w:sz w:val="24"/>
                <w:szCs w:val="24"/>
                <w:lang w:val="en-US" w:eastAsia="zh-CN"/>
              </w:rPr>
              <w:t>资料</w:t>
            </w:r>
          </w:p>
        </w:tc>
        <w:tc>
          <w:tcPr>
            <w:tcW w:w="117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工作人员、参赛队</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住宿酒店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rPr>
            </w:pPr>
          </w:p>
        </w:tc>
        <w:tc>
          <w:tcPr>
            <w:tcW w:w="1138"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14:30</w:t>
            </w:r>
          </w:p>
        </w:tc>
        <w:tc>
          <w:tcPr>
            <w:tcW w:w="134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参赛队集中乘车往学校</w:t>
            </w:r>
          </w:p>
        </w:tc>
        <w:tc>
          <w:tcPr>
            <w:tcW w:w="1179" w:type="pct"/>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_GB2312" w:hAnsi="仿宋_GB2312" w:eastAsia="仿宋_GB2312" w:cs="仿宋_GB2312"/>
                <w:sz w:val="24"/>
                <w:szCs w:val="24"/>
              </w:rPr>
            </w:pP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rPr>
            </w:pPr>
          </w:p>
        </w:tc>
        <w:tc>
          <w:tcPr>
            <w:tcW w:w="1138"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14:45～15:30</w:t>
            </w:r>
          </w:p>
        </w:tc>
        <w:tc>
          <w:tcPr>
            <w:tcW w:w="134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领队会议</w:t>
            </w:r>
          </w:p>
        </w:tc>
        <w:tc>
          <w:tcPr>
            <w:tcW w:w="117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各参赛队领队</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rPr>
            </w:pPr>
          </w:p>
        </w:tc>
        <w:tc>
          <w:tcPr>
            <w:tcW w:w="1138"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15:30～16:20</w:t>
            </w:r>
          </w:p>
        </w:tc>
        <w:tc>
          <w:tcPr>
            <w:tcW w:w="134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熟悉赛场</w:t>
            </w:r>
          </w:p>
        </w:tc>
        <w:tc>
          <w:tcPr>
            <w:tcW w:w="117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赛场技术人员、各参赛队</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rPr>
            </w:pPr>
          </w:p>
        </w:tc>
        <w:tc>
          <w:tcPr>
            <w:tcW w:w="1138"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16:20</w:t>
            </w:r>
          </w:p>
        </w:tc>
        <w:tc>
          <w:tcPr>
            <w:tcW w:w="134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回住宿酒店</w:t>
            </w:r>
          </w:p>
        </w:tc>
        <w:tc>
          <w:tcPr>
            <w:tcW w:w="1179" w:type="pct"/>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_GB2312" w:hAnsi="仿宋_GB2312" w:eastAsia="仿宋_GB2312" w:cs="仿宋_GB2312"/>
                <w:sz w:val="24"/>
                <w:szCs w:val="24"/>
              </w:rPr>
            </w:pP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竞赛</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rPr>
            </w:pPr>
          </w:p>
        </w:tc>
        <w:tc>
          <w:tcPr>
            <w:tcW w:w="1138"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7:30</w:t>
            </w:r>
          </w:p>
        </w:tc>
        <w:tc>
          <w:tcPr>
            <w:tcW w:w="134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参赛队住宿酒店门口集合，集体乘车前往赛场</w:t>
            </w:r>
          </w:p>
        </w:tc>
        <w:tc>
          <w:tcPr>
            <w:tcW w:w="117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各参赛队</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住宿酒店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rPr>
            </w:pPr>
          </w:p>
        </w:tc>
        <w:tc>
          <w:tcPr>
            <w:tcW w:w="1138"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8:00～8:40</w:t>
            </w:r>
          </w:p>
        </w:tc>
        <w:tc>
          <w:tcPr>
            <w:tcW w:w="134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大赛开赛式</w:t>
            </w:r>
          </w:p>
        </w:tc>
        <w:tc>
          <w:tcPr>
            <w:tcW w:w="117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领导、嘉宾、裁判、各参赛队</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rPr>
            </w:pPr>
          </w:p>
        </w:tc>
        <w:tc>
          <w:tcPr>
            <w:tcW w:w="1138"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9:00～9:30</w:t>
            </w:r>
          </w:p>
        </w:tc>
        <w:tc>
          <w:tcPr>
            <w:tcW w:w="134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大赛检录进场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第一次抽签加密（抽序号）</w:t>
            </w:r>
          </w:p>
        </w:tc>
        <w:tc>
          <w:tcPr>
            <w:tcW w:w="117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参赛选手、第一次抽签裁判</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一次抽签区域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rPr>
            </w:pPr>
          </w:p>
        </w:tc>
        <w:tc>
          <w:tcPr>
            <w:tcW w:w="1138"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9:30～9:50</w:t>
            </w:r>
          </w:p>
        </w:tc>
        <w:tc>
          <w:tcPr>
            <w:tcW w:w="134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第二次抽签加密（抽赛位号）</w:t>
            </w:r>
          </w:p>
        </w:tc>
        <w:tc>
          <w:tcPr>
            <w:tcW w:w="117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参赛选手、第二次抽签裁判</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二次抽签区域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rPr>
            </w:pPr>
          </w:p>
        </w:tc>
        <w:tc>
          <w:tcPr>
            <w:tcW w:w="1138"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10:00～12:30</w:t>
            </w:r>
          </w:p>
        </w:tc>
        <w:tc>
          <w:tcPr>
            <w:tcW w:w="134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直播销售及客户服务</w:t>
            </w:r>
          </w:p>
        </w:tc>
        <w:tc>
          <w:tcPr>
            <w:tcW w:w="117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参赛选手、裁判</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rPr>
            </w:pPr>
          </w:p>
        </w:tc>
        <w:tc>
          <w:tcPr>
            <w:tcW w:w="1138"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12:30～13:30</w:t>
            </w:r>
          </w:p>
        </w:tc>
        <w:tc>
          <w:tcPr>
            <w:tcW w:w="134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午餐</w:t>
            </w:r>
          </w:p>
        </w:tc>
        <w:tc>
          <w:tcPr>
            <w:tcW w:w="117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参赛选手、裁判</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工作人员</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rPr>
            </w:pPr>
          </w:p>
        </w:tc>
        <w:tc>
          <w:tcPr>
            <w:tcW w:w="1138"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13:30～15:30</w:t>
            </w:r>
          </w:p>
        </w:tc>
        <w:tc>
          <w:tcPr>
            <w:tcW w:w="134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网店开设装修</w:t>
            </w:r>
          </w:p>
        </w:tc>
        <w:tc>
          <w:tcPr>
            <w:tcW w:w="117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参赛选手、裁判</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rPr>
            </w:pPr>
          </w:p>
        </w:tc>
        <w:tc>
          <w:tcPr>
            <w:tcW w:w="1138"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16:00</w:t>
            </w:r>
          </w:p>
        </w:tc>
        <w:tc>
          <w:tcPr>
            <w:tcW w:w="134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各队回住宿酒店</w:t>
            </w:r>
          </w:p>
        </w:tc>
        <w:tc>
          <w:tcPr>
            <w:tcW w:w="117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各参赛队</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7" w:type="pct"/>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竞赛</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rPr>
            </w:pPr>
          </w:p>
        </w:tc>
        <w:tc>
          <w:tcPr>
            <w:tcW w:w="11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7:30</w:t>
            </w:r>
          </w:p>
        </w:tc>
        <w:tc>
          <w:tcPr>
            <w:tcW w:w="134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参赛队住宿酒店门口集合，集体乘车前往赛场</w:t>
            </w:r>
          </w:p>
        </w:tc>
        <w:tc>
          <w:tcPr>
            <w:tcW w:w="1179"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各参赛队</w:t>
            </w:r>
          </w:p>
        </w:tc>
        <w:tc>
          <w:tcPr>
            <w:tcW w:w="69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住宿酒店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rPr>
            </w:pPr>
          </w:p>
        </w:tc>
        <w:tc>
          <w:tcPr>
            <w:tcW w:w="11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7:45</w:t>
            </w:r>
          </w:p>
        </w:tc>
        <w:tc>
          <w:tcPr>
            <w:tcW w:w="134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竞赛场地前</w:t>
            </w:r>
          </w:p>
        </w:tc>
        <w:tc>
          <w:tcPr>
            <w:tcW w:w="1179"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各参赛队</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工作人员</w:t>
            </w:r>
          </w:p>
        </w:tc>
        <w:tc>
          <w:tcPr>
            <w:tcW w:w="69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竞赛场地前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7"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rPr>
            </w:pPr>
          </w:p>
        </w:tc>
        <w:tc>
          <w:tcPr>
            <w:tcW w:w="11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7:50～8:30</w:t>
            </w:r>
          </w:p>
        </w:tc>
        <w:tc>
          <w:tcPr>
            <w:tcW w:w="134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大赛检录进场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第一次抽签加密（抽序号）</w:t>
            </w:r>
          </w:p>
        </w:tc>
        <w:tc>
          <w:tcPr>
            <w:tcW w:w="117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参赛选手、第一次抽签裁判</w:t>
            </w:r>
          </w:p>
        </w:tc>
        <w:tc>
          <w:tcPr>
            <w:tcW w:w="69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一次抽签区域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rPr>
            </w:pPr>
          </w:p>
        </w:tc>
        <w:tc>
          <w:tcPr>
            <w:tcW w:w="11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8:30～8:50</w:t>
            </w:r>
          </w:p>
        </w:tc>
        <w:tc>
          <w:tcPr>
            <w:tcW w:w="134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第二次抽签加密（抽工位号）</w:t>
            </w:r>
          </w:p>
        </w:tc>
        <w:tc>
          <w:tcPr>
            <w:tcW w:w="1179"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参赛选手、第二次抽签裁判</w:t>
            </w:r>
          </w:p>
        </w:tc>
        <w:tc>
          <w:tcPr>
            <w:tcW w:w="69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二次抽签区域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rPr>
            </w:pPr>
          </w:p>
        </w:tc>
        <w:tc>
          <w:tcPr>
            <w:tcW w:w="11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9:00～12:00</w:t>
            </w:r>
          </w:p>
        </w:tc>
        <w:tc>
          <w:tcPr>
            <w:tcW w:w="134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网店运营推广</w:t>
            </w:r>
          </w:p>
        </w:tc>
        <w:tc>
          <w:tcPr>
            <w:tcW w:w="1179"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参赛选手、裁判</w:t>
            </w:r>
          </w:p>
        </w:tc>
        <w:tc>
          <w:tcPr>
            <w:tcW w:w="69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rPr>
            </w:pPr>
          </w:p>
        </w:tc>
        <w:tc>
          <w:tcPr>
            <w:tcW w:w="11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12:00～13:00</w:t>
            </w:r>
          </w:p>
        </w:tc>
        <w:tc>
          <w:tcPr>
            <w:tcW w:w="134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午餐</w:t>
            </w:r>
          </w:p>
        </w:tc>
        <w:tc>
          <w:tcPr>
            <w:tcW w:w="1179"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参赛选手、裁判</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工作人员</w:t>
            </w:r>
          </w:p>
        </w:tc>
        <w:tc>
          <w:tcPr>
            <w:tcW w:w="69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rPr>
            </w:pPr>
          </w:p>
        </w:tc>
        <w:tc>
          <w:tcPr>
            <w:tcW w:w="11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15:50</w:t>
            </w:r>
          </w:p>
        </w:tc>
        <w:tc>
          <w:tcPr>
            <w:tcW w:w="134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各参赛队入场</w:t>
            </w:r>
          </w:p>
        </w:tc>
        <w:tc>
          <w:tcPr>
            <w:tcW w:w="1179"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各参赛队</w:t>
            </w:r>
          </w:p>
        </w:tc>
        <w:tc>
          <w:tcPr>
            <w:tcW w:w="69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7"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rPr>
            </w:pPr>
          </w:p>
        </w:tc>
        <w:tc>
          <w:tcPr>
            <w:tcW w:w="11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16:00～17:00</w:t>
            </w:r>
          </w:p>
        </w:tc>
        <w:tc>
          <w:tcPr>
            <w:tcW w:w="134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闭赛式</w:t>
            </w:r>
          </w:p>
        </w:tc>
        <w:tc>
          <w:tcPr>
            <w:tcW w:w="1179"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领导、嘉宾、裁判长、裁判、各参赛队</w:t>
            </w:r>
          </w:p>
        </w:tc>
        <w:tc>
          <w:tcPr>
            <w:tcW w:w="69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仿宋_GB2312" w:hAnsi="仿宋_GB2312" w:eastAsia="仿宋_GB2312" w:cs="仿宋_GB2312"/>
                <w:sz w:val="24"/>
                <w:szCs w:val="24"/>
              </w:rPr>
            </w:pPr>
          </w:p>
        </w:tc>
        <w:tc>
          <w:tcPr>
            <w:tcW w:w="11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17:30</w:t>
            </w:r>
          </w:p>
        </w:tc>
        <w:tc>
          <w:tcPr>
            <w:tcW w:w="134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各队回住宿酒店</w:t>
            </w:r>
          </w:p>
        </w:tc>
        <w:tc>
          <w:tcPr>
            <w:tcW w:w="1179"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各参赛队</w:t>
            </w:r>
          </w:p>
        </w:tc>
        <w:tc>
          <w:tcPr>
            <w:tcW w:w="69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返程日</w:t>
            </w:r>
          </w:p>
        </w:tc>
        <w:tc>
          <w:tcPr>
            <w:tcW w:w="11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9:00</w:t>
            </w:r>
          </w:p>
        </w:tc>
        <w:tc>
          <w:tcPr>
            <w:tcW w:w="134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所有参赛队返程</w:t>
            </w:r>
          </w:p>
        </w:tc>
        <w:tc>
          <w:tcPr>
            <w:tcW w:w="1179"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p>
        </w:tc>
        <w:tc>
          <w:tcPr>
            <w:tcW w:w="69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p>
    <w:p>
      <w:pPr>
        <w:pStyle w:val="2"/>
        <w:ind w:left="0"/>
        <w:jc w:val="center"/>
        <w:rPr>
          <w:rFonts w:ascii="仿宋_GB2312" w:hAnsi="仿宋_GB2312" w:eastAsia="仿宋_GB2312" w:cs="仿宋_GB2312"/>
          <w:kern w:val="2"/>
        </w:rPr>
      </w:pPr>
    </w:p>
    <w:p>
      <w:pPr>
        <w:pStyle w:val="2"/>
        <w:ind w:left="0"/>
        <w:jc w:val="center"/>
        <w:rPr>
          <w:rFonts w:hint="eastAsia" w:ascii="仿宋_GB2312" w:hAnsi="仿宋_GB2312" w:eastAsia="仿宋_GB2312" w:cs="仿宋_GB2312"/>
          <w:kern w:val="2"/>
          <w:sz w:val="28"/>
          <w:szCs w:val="28"/>
          <w:lang w:val="en-US" w:eastAsia="zh-CN" w:bidi="ar-SA"/>
        </w:rPr>
      </w:pPr>
    </w:p>
    <w:p>
      <w:pPr>
        <w:pStyle w:val="2"/>
        <w:ind w:left="0"/>
        <w:jc w:val="center"/>
        <w:rPr>
          <w:rFonts w:hint="eastAsia" w:ascii="仿宋_GB2312" w:hAnsi="仿宋_GB2312" w:eastAsia="仿宋_GB2312" w:cs="仿宋_GB2312"/>
          <w:kern w:val="2"/>
          <w:sz w:val="28"/>
          <w:szCs w:val="28"/>
          <w:lang w:val="en-US" w:eastAsia="zh-CN" w:bidi="ar-SA"/>
        </w:rPr>
      </w:pPr>
    </w:p>
    <w:p>
      <w:pPr>
        <w:pStyle w:val="2"/>
        <w:ind w:left="0"/>
        <w:jc w:val="center"/>
        <w:rPr>
          <w:rFonts w:hint="eastAsia" w:ascii="仿宋_GB2312" w:hAnsi="仿宋_GB2312" w:eastAsia="仿宋_GB2312" w:cs="仿宋_GB2312"/>
          <w:kern w:val="2"/>
          <w:sz w:val="28"/>
          <w:szCs w:val="28"/>
          <w:lang w:val="en-US" w:eastAsia="zh-CN" w:bidi="ar-SA"/>
        </w:rPr>
      </w:pPr>
    </w:p>
    <w:p>
      <w:pPr>
        <w:pStyle w:val="2"/>
        <w:ind w:left="0"/>
        <w:jc w:val="center"/>
        <w:rPr>
          <w:rFonts w:hint="eastAsia" w:ascii="仿宋_GB2312" w:hAnsi="仿宋_GB2312" w:eastAsia="仿宋_GB2312" w:cs="仿宋_GB2312"/>
          <w:kern w:val="2"/>
          <w:sz w:val="28"/>
          <w:szCs w:val="28"/>
          <w:lang w:val="en-US" w:eastAsia="zh-CN" w:bidi="ar-SA"/>
        </w:rPr>
      </w:pPr>
    </w:p>
    <w:p>
      <w:pPr>
        <w:pStyle w:val="2"/>
        <w:ind w:left="0"/>
        <w:jc w:val="center"/>
        <w:rPr>
          <w:rFonts w:hint="eastAsia" w:ascii="仿宋_GB2312" w:hAnsi="仿宋_GB2312" w:eastAsia="仿宋_GB2312" w:cs="仿宋_GB2312"/>
          <w:kern w:val="2"/>
          <w:sz w:val="28"/>
          <w:szCs w:val="28"/>
          <w:lang w:val="en-US" w:eastAsia="zh-CN" w:bidi="ar-SA"/>
        </w:rPr>
      </w:pPr>
    </w:p>
    <w:p>
      <w:pPr>
        <w:pStyle w:val="2"/>
        <w:ind w:left="0"/>
        <w:jc w:val="both"/>
        <w:rPr>
          <w:rFonts w:hint="eastAsia" w:ascii="仿宋_GB2312" w:hAnsi="仿宋_GB2312" w:eastAsia="仿宋_GB2312" w:cs="仿宋_GB2312"/>
          <w:kern w:val="2"/>
          <w:sz w:val="28"/>
          <w:szCs w:val="28"/>
          <w:lang w:val="en-US" w:eastAsia="zh-CN" w:bidi="ar-SA"/>
        </w:rPr>
      </w:pPr>
    </w:p>
    <w:p>
      <w:pPr>
        <w:jc w:val="center"/>
      </w:pPr>
      <w:r>
        <w:drawing>
          <wp:inline distT="0" distB="0" distL="114300" distR="114300">
            <wp:extent cx="3604260" cy="594360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3604260" cy="59436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图5-1 竞赛流程图</w:t>
      </w:r>
    </w:p>
    <w:p>
      <w:pPr>
        <w:pStyle w:val="2"/>
        <w:numPr>
          <w:ilvl w:val="0"/>
          <w:numId w:val="0"/>
        </w:numPr>
        <w:rPr>
          <w:rStyle w:val="13"/>
          <w:rFonts w:hint="eastAsia" w:eastAsia="黑体"/>
          <w:lang w:val="en-US" w:eastAsia="zh-CN"/>
        </w:rPr>
      </w:pPr>
    </w:p>
    <w:p>
      <w:pPr>
        <w:pStyle w:val="3"/>
        <w:bidi w:val="0"/>
        <w:rPr>
          <w:rFonts w:hint="eastAsia"/>
        </w:rPr>
      </w:pPr>
      <w:r>
        <w:rPr>
          <w:rFonts w:hint="eastAsia"/>
          <w:lang w:val="en-US" w:eastAsia="zh-CN"/>
        </w:rPr>
        <w:t>六、</w:t>
      </w:r>
      <w:r>
        <w:rPr>
          <w:rFonts w:hint="eastAsia"/>
        </w:rPr>
        <w:t>竞赛规则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选手报名：参赛选手和指导教师报名获得确认后不得随意更换。如比赛前参赛选手和指导教师因故无法参赛，须由省级教育行政部门于开赛10个工作日之前出具书面说明，经大赛执委会办公室核实后予以更换；团体赛选手因特殊原因不能参加比赛时，由大赛执委会办公室根据赛项的特点决定是否可进行缺员比赛，并上报大赛执委会备案。如发现未经报备，实际参赛选手与报名信息不符的情况，均不得入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熟悉场地：比赛日前一天下午15:30～16:20开放赛场，熟悉场地。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入场规则：选手入场时，逐个核查竞赛选手参赛号，对于选手携带的个人身份证件统一保管，对于违规物品立即收缴；实际参赛选手与报名信息不符的情况，不得入场。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赛场规则：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检录：由检录工作人员依照检录表进行点名核对。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加密：竞赛当日进行两次加密，分别由两组加密裁判组织实施加密工作，管理加密结果。监督仲裁员全程监督加密过程。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引导：参赛选手凭赛位号进入赛场，现场裁判负责引导参赛选手至赛位前等待竞赛指令。</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由裁判长宣布比赛开始，各参赛队开始竞赛。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竞赛过程中，如遇设备故障，参赛选手应持“故障”示意牌示意。裁判、技术人员等应及时予以解决。确因计算机软件或硬件故障，致使操作无法继续的，经裁判长同意，予以启用备用计算机。如遇身体不适，参赛选手应持“医务”示意牌示意，现场医务人员按应急预案救治。如有其他问题，参赛选手应持“咨询”示意牌示意，裁判应按照有关要求及时予以答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离场规则：参赛选手比赛中途不得擅自离开赛场；竞赛内容完成后经裁判长同意可离开赛场。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成绩评定与结果公布：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本赛项评分方法分为机考评分和结果评分，成绩评定过程中的所有评分材料须由相应评分裁判签字确认，更正成绩需经裁判本人、裁判长及监督仲裁组长在更正处签字。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记分员将解密后的各参赛队伍（选手）成绩汇总成比赛成绩，经裁判长、监督仲裁组签字，公示2小时且无异议后，公布比赛结果。</w:t>
      </w:r>
    </w:p>
    <w:p>
      <w:pPr>
        <w:pStyle w:val="3"/>
        <w:bidi w:val="0"/>
        <w:rPr>
          <w:b w:val="0"/>
          <w:bCs/>
        </w:rPr>
      </w:pPr>
      <w:r>
        <w:rPr>
          <w:rFonts w:hint="eastAsia"/>
          <w:b w:val="0"/>
          <w:bCs/>
        </w:rPr>
        <w:t>七、技术规范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参赛团队遵循以下规范：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专业教学要求：根据教育部发布的职业教育专业简介（2022年修订）中职电子商务、网络营销、直播电商服务专业主要专业能力要求与《网络推广实务》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《视觉设计与制作》</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《直播销售》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《直播运营实务》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《客户服务》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《移动视觉设计》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《企业网络营销实务》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《直播客户服务》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《短视频拍摄与剪辑》等核心课程的主要知识点、技能点设置竞赛内容。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国家标准和行业标准：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《电子商务师国家职业技能标准》（2022年版）</w:t>
      </w:r>
    </w:p>
    <w:p>
      <w:pPr>
        <w:keepNext w:val="0"/>
        <w:keepLines w:val="0"/>
        <w:pageBreakBefore w:val="0"/>
        <w:widowControl w:val="0"/>
        <w:kinsoku/>
        <w:wordWrap/>
        <w:overflowPunct/>
        <w:topLinePunct w:val="0"/>
        <w:autoSpaceDE/>
        <w:autoSpaceDN/>
        <w:bidi w:val="0"/>
        <w:adjustRightInd/>
        <w:snapToGrid/>
        <w:spacing w:line="360" w:lineRule="auto"/>
        <w:ind w:firstLine="840" w:firstLineChars="3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职业编码：4-01-02-02</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《1+X网店运营推广职业技能等级标准》（2021年2.0版）</w:t>
      </w:r>
    </w:p>
    <w:p>
      <w:pPr>
        <w:keepNext w:val="0"/>
        <w:keepLines w:val="0"/>
        <w:pageBreakBefore w:val="0"/>
        <w:widowControl w:val="0"/>
        <w:kinsoku/>
        <w:wordWrap/>
        <w:overflowPunct/>
        <w:topLinePunct w:val="0"/>
        <w:autoSpaceDE/>
        <w:autoSpaceDN/>
        <w:bidi w:val="0"/>
        <w:adjustRightInd/>
        <w:snapToGrid/>
        <w:spacing w:line="360" w:lineRule="auto"/>
        <w:ind w:firstLine="840" w:firstLineChars="3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标准代码：530003</w:t>
      </w:r>
    </w:p>
    <w:p>
      <w:pPr>
        <w:pStyle w:val="3"/>
        <w:bidi w:val="0"/>
        <w:rPr>
          <w:rFonts w:hint="eastAsia"/>
          <w:b w:val="0"/>
          <w:bCs/>
        </w:rPr>
      </w:pPr>
      <w:r>
        <w:rPr>
          <w:rFonts w:hint="eastAsia"/>
          <w:b w:val="0"/>
          <w:bCs/>
          <w:lang w:val="en-US" w:eastAsia="zh-CN"/>
        </w:rPr>
        <w:t>八、</w:t>
      </w:r>
      <w:r>
        <w:rPr>
          <w:rFonts w:hint="eastAsia"/>
          <w:b w:val="0"/>
          <w:bCs/>
        </w:rPr>
        <w:t>技术环境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竞赛场地设在体育馆内或电脑机房，场地面积不少于600平方米、至少满足80个团队的竞赛环境。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赛场各赛位统一使用清晰的工位标识，一个参赛队一个机位，每个机位三台电脑，其中一台备用，两张桌子，四把椅子。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竞赛场地内设置背景板、宣传横幅及壁挂图，营造竞赛氛围。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局域网络。采用星形网络拓扑结构，安装千兆交换机，网线与电源线隐蔽铺设。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五</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利用UPS防止现场因突然断电导致的系统数据丢失，额定功率：3KVA，后备时间：2小时，电池类型：输出电压：230V±5%V。</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六</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技术平台</w:t>
      </w:r>
    </w:p>
    <w:p>
      <w:pPr>
        <w:pStyle w:val="2"/>
        <w:ind w:left="0"/>
        <w:jc w:val="center"/>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表8-1 技术平台规格要求</w:t>
      </w:r>
    </w:p>
    <w:tbl>
      <w:tblPr>
        <w:tblStyle w:val="10"/>
        <w:tblW w:w="903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49"/>
        <w:gridCol w:w="62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0" w:hRule="atLeast"/>
          <w:jc w:val="center"/>
        </w:trPr>
        <w:tc>
          <w:tcPr>
            <w:tcW w:w="2749" w:type="dxa"/>
            <w:vAlign w:val="center"/>
          </w:tcPr>
          <w:p>
            <w:pPr>
              <w:keepNext w:val="0"/>
              <w:pageBreakBefore w:val="0"/>
              <w:kinsoku/>
              <w:wordWrap/>
              <w:overflowPunct/>
              <w:topLinePunct w:val="0"/>
              <w:autoSpaceDE/>
              <w:autoSpaceDN/>
              <w:bidi w:val="0"/>
              <w:adjustRightInd/>
              <w:snapToGrid/>
              <w:spacing w:line="360" w:lineRule="auto"/>
              <w:ind w:right="210" w:rightChars="100" w:firstLine="723" w:firstLineChars="300"/>
              <w:jc w:val="left"/>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品名</w:t>
            </w:r>
          </w:p>
        </w:tc>
        <w:tc>
          <w:tcPr>
            <w:tcW w:w="6286" w:type="dxa"/>
            <w:vAlign w:val="center"/>
          </w:tcPr>
          <w:p>
            <w:pPr>
              <w:keepNext w:val="0"/>
              <w:pageBreakBefore w:val="0"/>
              <w:kinsoku/>
              <w:wordWrap/>
              <w:overflowPunct/>
              <w:topLinePunct w:val="0"/>
              <w:autoSpaceDE/>
              <w:autoSpaceDN/>
              <w:bidi w:val="0"/>
              <w:adjustRightInd/>
              <w:snapToGrid/>
              <w:spacing w:line="360" w:lineRule="auto"/>
              <w:ind w:right="210" w:rightChars="100" w:firstLine="1928" w:firstLineChars="800"/>
              <w:jc w:val="left"/>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规格要求说明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6" w:hRule="atLeast"/>
          <w:jc w:val="center"/>
        </w:trPr>
        <w:tc>
          <w:tcPr>
            <w:tcW w:w="2749" w:type="dxa"/>
            <w:vAlign w:val="center"/>
          </w:tcPr>
          <w:p>
            <w:pPr>
              <w:keepNext w:val="0"/>
              <w:pageBreakBefore w:val="0"/>
              <w:kinsoku/>
              <w:wordWrap/>
              <w:overflowPunct/>
              <w:topLinePunct w:val="0"/>
              <w:autoSpaceDE/>
              <w:autoSpaceDN/>
              <w:bidi w:val="0"/>
              <w:adjustRightInd/>
              <w:snapToGrid/>
              <w:spacing w:line="360" w:lineRule="auto"/>
              <w:ind w:right="210" w:rightChars="10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 参赛选手计算机</w:t>
            </w:r>
          </w:p>
        </w:tc>
        <w:tc>
          <w:tcPr>
            <w:tcW w:w="6286" w:type="dxa"/>
          </w:tcPr>
          <w:p>
            <w:pPr>
              <w:keepNext w:val="0"/>
              <w:pageBreakBefore w:val="0"/>
              <w:kinsoku/>
              <w:wordWrap/>
              <w:overflowPunct/>
              <w:topLinePunct w:val="0"/>
              <w:autoSpaceDE/>
              <w:autoSpaceDN/>
              <w:bidi w:val="0"/>
              <w:adjustRightInd/>
              <w:snapToGrid/>
              <w:spacing w:line="360" w:lineRule="auto"/>
              <w:ind w:right="210" w:rightChars="10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配置要求：酷睿I5双核3.0以上CPU；8G以上内存；100G以上硬盘；2G显存以上独立显卡，千兆网卡。预装Windows7及以上操作系统；预装火狐、谷歌浏览器；预装录屏软件；预装全拼、简拼、微软拼音等中文输入法和英文输入法；预装Dreamweaver CS6简体中文版；预装AdobePhotoshop CS6 版本。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6" w:hRule="atLeast"/>
          <w:jc w:val="center"/>
        </w:trPr>
        <w:tc>
          <w:tcPr>
            <w:tcW w:w="2749" w:type="dxa"/>
            <w:vAlign w:val="center"/>
          </w:tcPr>
          <w:p>
            <w:pPr>
              <w:keepNext w:val="0"/>
              <w:pageBreakBefore w:val="0"/>
              <w:kinsoku/>
              <w:wordWrap/>
              <w:overflowPunct/>
              <w:topLinePunct w:val="0"/>
              <w:autoSpaceDE/>
              <w:autoSpaceDN/>
              <w:bidi w:val="0"/>
              <w:adjustRightInd/>
              <w:snapToGrid/>
              <w:spacing w:line="360" w:lineRule="auto"/>
              <w:ind w:right="210" w:rightChars="100" w:firstLine="480" w:firstLineChars="20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竞赛平台</w:t>
            </w:r>
          </w:p>
        </w:tc>
        <w:tc>
          <w:tcPr>
            <w:tcW w:w="6286" w:type="dxa"/>
            <w:vAlign w:val="center"/>
          </w:tcPr>
          <w:p>
            <w:pPr>
              <w:keepNext w:val="0"/>
              <w:pageBreakBefore w:val="0"/>
              <w:kinsoku/>
              <w:wordWrap/>
              <w:overflowPunct/>
              <w:topLinePunct w:val="0"/>
              <w:autoSpaceDE/>
              <w:autoSpaceDN/>
              <w:bidi w:val="0"/>
              <w:adjustRightInd/>
              <w:snapToGrid/>
              <w:spacing w:line="360" w:lineRule="auto"/>
              <w:ind w:right="210" w:rightChars="10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所采用的竞赛平台对接产业前沿技术和行业标准，以职业需求为导向，以实践能力培养为重点，紧贴电子商务工作实际，把真实的工作过程、项目任务和要求融入各个环节。竞赛平台包含网店开设装修、网店运营推广、直播销售及客户服务三个竞赛模块，考察选手的网店运营、视觉设计与制作、数据分析、网络推广、直播销售、客户服务和团队合作能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6" w:hRule="atLeast"/>
          <w:jc w:val="center"/>
        </w:trPr>
        <w:tc>
          <w:tcPr>
            <w:tcW w:w="2749" w:type="dxa"/>
            <w:vAlign w:val="center"/>
          </w:tcPr>
          <w:p>
            <w:pPr>
              <w:keepNext w:val="0"/>
              <w:pageBreakBefore w:val="0"/>
              <w:kinsoku/>
              <w:wordWrap/>
              <w:overflowPunct/>
              <w:topLinePunct w:val="0"/>
              <w:autoSpaceDE/>
              <w:autoSpaceDN/>
              <w:bidi w:val="0"/>
              <w:adjustRightInd/>
              <w:snapToGrid/>
              <w:spacing w:line="360" w:lineRule="auto"/>
              <w:ind w:right="210" w:rightChars="10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参赛选手直播设备</w:t>
            </w:r>
          </w:p>
        </w:tc>
        <w:tc>
          <w:tcPr>
            <w:tcW w:w="6286" w:type="dxa"/>
            <w:vAlign w:val="center"/>
          </w:tcPr>
          <w:p>
            <w:pPr>
              <w:keepNext w:val="0"/>
              <w:pageBreakBefore w:val="0"/>
              <w:kinsoku/>
              <w:wordWrap/>
              <w:overflowPunct/>
              <w:topLinePunct w:val="0"/>
              <w:autoSpaceDE/>
              <w:autoSpaceDN/>
              <w:bidi w:val="0"/>
              <w:adjustRightInd/>
              <w:snapToGrid/>
              <w:spacing w:line="360" w:lineRule="auto"/>
              <w:ind w:right="210" w:rightChars="100"/>
              <w:jc w:val="both"/>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由承办方提供直播手机、有线耳机、三脚架、补光灯、直播商品，并提供充足的备用设备，其中手机需配置Android 10以上操作系统，3GB+32GB以上内存，前置摄像头500万以上像素。参赛选手只允许使用大赛统一提供的直播设备、直播背景，不允许自带设备或更改直播背景。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6" w:hRule="atLeast"/>
          <w:jc w:val="center"/>
        </w:trPr>
        <w:tc>
          <w:tcPr>
            <w:tcW w:w="2749" w:type="dxa"/>
            <w:vAlign w:val="center"/>
          </w:tcPr>
          <w:p>
            <w:pPr>
              <w:keepNext w:val="0"/>
              <w:pageBreakBefore w:val="0"/>
              <w:kinsoku/>
              <w:wordWrap/>
              <w:overflowPunct/>
              <w:topLinePunct w:val="0"/>
              <w:autoSpaceDE/>
              <w:autoSpaceDN/>
              <w:bidi w:val="0"/>
              <w:adjustRightInd/>
              <w:snapToGrid/>
              <w:spacing w:line="360" w:lineRule="auto"/>
              <w:ind w:right="210" w:rightChars="100" w:firstLine="480" w:firstLineChars="20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现场布置</w:t>
            </w:r>
          </w:p>
        </w:tc>
        <w:tc>
          <w:tcPr>
            <w:tcW w:w="6286" w:type="dxa"/>
            <w:vAlign w:val="center"/>
          </w:tcPr>
          <w:p>
            <w:pPr>
              <w:keepNext w:val="0"/>
              <w:pageBreakBefore w:val="0"/>
              <w:kinsoku/>
              <w:wordWrap/>
              <w:overflowPunct/>
              <w:topLinePunct w:val="0"/>
              <w:autoSpaceDE/>
              <w:autoSpaceDN/>
              <w:bidi w:val="0"/>
              <w:adjustRightInd/>
              <w:snapToGrid/>
              <w:spacing w:line="360" w:lineRule="auto"/>
              <w:ind w:right="210" w:rightChars="10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工位隔断、环境布置、桌椅等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6" w:hRule="atLeast"/>
          <w:jc w:val="center"/>
        </w:trPr>
        <w:tc>
          <w:tcPr>
            <w:tcW w:w="2749" w:type="dxa"/>
            <w:vAlign w:val="center"/>
          </w:tcPr>
          <w:p>
            <w:pPr>
              <w:keepNext w:val="0"/>
              <w:pageBreakBefore w:val="0"/>
              <w:kinsoku/>
              <w:wordWrap/>
              <w:overflowPunct/>
              <w:topLinePunct w:val="0"/>
              <w:autoSpaceDE/>
              <w:autoSpaceDN/>
              <w:bidi w:val="0"/>
              <w:adjustRightInd/>
              <w:snapToGrid/>
              <w:spacing w:line="360" w:lineRule="auto"/>
              <w:ind w:right="210" w:rightChars="100" w:firstLine="240" w:firstLineChars="10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网络连接设备</w:t>
            </w:r>
          </w:p>
        </w:tc>
        <w:tc>
          <w:tcPr>
            <w:tcW w:w="6286" w:type="dxa"/>
            <w:vAlign w:val="center"/>
          </w:tcPr>
          <w:p>
            <w:pPr>
              <w:keepNext w:val="0"/>
              <w:pageBreakBefore w:val="0"/>
              <w:kinsoku/>
              <w:wordWrap/>
              <w:overflowPunct/>
              <w:topLinePunct w:val="0"/>
              <w:autoSpaceDE/>
              <w:autoSpaceDN/>
              <w:bidi w:val="0"/>
              <w:adjustRightInd/>
              <w:snapToGrid/>
              <w:spacing w:line="360" w:lineRule="auto"/>
              <w:ind w:right="210" w:rightChars="10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提供网络布线、千兆交换机、无线AP、AC控制器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4" w:hRule="atLeast"/>
          <w:jc w:val="center"/>
        </w:trPr>
        <w:tc>
          <w:tcPr>
            <w:tcW w:w="2749" w:type="dxa"/>
            <w:vAlign w:val="center"/>
          </w:tcPr>
          <w:p>
            <w:pPr>
              <w:keepNext w:val="0"/>
              <w:pageBreakBefore w:val="0"/>
              <w:kinsoku/>
              <w:wordWrap/>
              <w:overflowPunct/>
              <w:topLinePunct w:val="0"/>
              <w:autoSpaceDE/>
              <w:autoSpaceDN/>
              <w:bidi w:val="0"/>
              <w:adjustRightInd/>
              <w:snapToGrid/>
              <w:spacing w:line="360" w:lineRule="auto"/>
              <w:ind w:right="210" w:rightChars="100" w:firstLine="480" w:firstLineChars="20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竞赛服务器</w:t>
            </w:r>
          </w:p>
        </w:tc>
        <w:tc>
          <w:tcPr>
            <w:tcW w:w="6286" w:type="dxa"/>
            <w:vAlign w:val="center"/>
          </w:tcPr>
          <w:p>
            <w:pPr>
              <w:keepNext w:val="0"/>
              <w:pageBreakBefore w:val="0"/>
              <w:kinsoku/>
              <w:wordWrap/>
              <w:overflowPunct/>
              <w:topLinePunct w:val="0"/>
              <w:autoSpaceDE/>
              <w:autoSpaceDN/>
              <w:bidi w:val="0"/>
              <w:adjustRightInd/>
              <w:snapToGrid/>
              <w:spacing w:line="360" w:lineRule="auto"/>
              <w:ind w:right="210" w:rightChars="10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配置要求：英特尔至强E5系列E5-2683 v4十六核以上CPU；16GB以上内存；硬盘：500G以上；转速：10000 RPM或固态P4510；千兆网卡。</w:t>
            </w:r>
          </w:p>
          <w:p>
            <w:pPr>
              <w:keepNext w:val="0"/>
              <w:pageBreakBefore w:val="0"/>
              <w:kinsoku/>
              <w:wordWrap/>
              <w:overflowPunct/>
              <w:topLinePunct w:val="0"/>
              <w:autoSpaceDE/>
              <w:autoSpaceDN/>
              <w:bidi w:val="0"/>
              <w:adjustRightInd/>
              <w:snapToGrid/>
              <w:spacing w:line="360" w:lineRule="auto"/>
              <w:ind w:right="210" w:rightChars="10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预装Windows Server 2008 R2操作系统及IIS 7.5；预装Microsoft SQL Server 2008数据库。</w:t>
            </w:r>
          </w:p>
        </w:tc>
      </w:tr>
    </w:tbl>
    <w:p>
      <w:pPr>
        <w:pStyle w:val="3"/>
        <w:bidi w:val="0"/>
        <w:rPr>
          <w:b w:val="0"/>
          <w:bCs/>
        </w:rPr>
      </w:pPr>
      <w:r>
        <w:rPr>
          <w:rFonts w:hint="eastAsia"/>
          <w:b w:val="0"/>
          <w:bCs/>
        </w:rPr>
        <w:t>九、竞赛样题</w:t>
      </w:r>
    </w:p>
    <w:p>
      <w:pPr>
        <w:pStyle w:val="9"/>
        <w:spacing w:line="360" w:lineRule="auto"/>
        <w:ind w:left="0" w:leftChars="0"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本赛项共包含三个比赛模块，具体内容如下表所示：</w:t>
      </w:r>
    </w:p>
    <w:p>
      <w:pPr>
        <w:rPr>
          <w:rFonts w:hint="eastAsia" w:ascii="仿宋_GB2312" w:hAnsi="仿宋_GB2312" w:eastAsia="仿宋_GB2312" w:cs="仿宋_GB2312"/>
          <w:kern w:val="2"/>
          <w:sz w:val="28"/>
          <w:szCs w:val="28"/>
          <w:lang w:val="en-US" w:eastAsia="zh-CN" w:bidi="ar-SA"/>
        </w:rPr>
      </w:pPr>
    </w:p>
    <w:p>
      <w:pPr>
        <w:pStyle w:val="2"/>
        <w:rPr>
          <w:rFonts w:hint="eastAsia"/>
          <w:lang w:val="en-US" w:eastAsia="zh-CN"/>
        </w:rPr>
      </w:pPr>
    </w:p>
    <w:p>
      <w:pPr>
        <w:pStyle w:val="9"/>
        <w:spacing w:line="360" w:lineRule="auto"/>
        <w:ind w:left="0" w:leftChars="0"/>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kern w:val="2"/>
          <w:sz w:val="24"/>
          <w:szCs w:val="24"/>
          <w:lang w:val="en-US" w:eastAsia="zh-CN" w:bidi="ar-SA"/>
        </w:rPr>
        <w:t>表9-1 各模块权重占比及竞赛时间</w:t>
      </w:r>
    </w:p>
    <w:tbl>
      <w:tblPr>
        <w:tblStyle w:val="10"/>
        <w:tblW w:w="49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3068"/>
        <w:gridCol w:w="1915"/>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904" w:type="pct"/>
            <w:vAlign w:val="center"/>
          </w:tcPr>
          <w:p>
            <w:pPr>
              <w:keepNext w:val="0"/>
              <w:keepLines/>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序号</w:t>
            </w:r>
          </w:p>
        </w:tc>
        <w:tc>
          <w:tcPr>
            <w:tcW w:w="1821" w:type="pct"/>
            <w:vAlign w:val="center"/>
          </w:tcPr>
          <w:p>
            <w:pPr>
              <w:keepNext w:val="0"/>
              <w:keepLines/>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模块名称</w:t>
            </w:r>
          </w:p>
        </w:tc>
        <w:tc>
          <w:tcPr>
            <w:tcW w:w="1136" w:type="pct"/>
            <w:vAlign w:val="center"/>
          </w:tcPr>
          <w:p>
            <w:pPr>
              <w:keepNext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权重占比（%）</w:t>
            </w:r>
          </w:p>
        </w:tc>
        <w:tc>
          <w:tcPr>
            <w:tcW w:w="1136" w:type="pct"/>
            <w:vAlign w:val="center"/>
          </w:tcPr>
          <w:p>
            <w:pPr>
              <w:keepNext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竞赛时间（分）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904" w:type="pct"/>
            <w:vAlign w:val="center"/>
          </w:tcPr>
          <w:p>
            <w:pPr>
              <w:keepNext w:val="0"/>
              <w:keepLines/>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1821" w:type="pct"/>
            <w:vAlign w:val="center"/>
          </w:tcPr>
          <w:p>
            <w:pPr>
              <w:keepNext w:val="0"/>
              <w:keepLines/>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网店开设装修</w:t>
            </w:r>
          </w:p>
        </w:tc>
        <w:tc>
          <w:tcPr>
            <w:tcW w:w="1136" w:type="pct"/>
            <w:vAlign w:val="center"/>
          </w:tcPr>
          <w:p>
            <w:pPr>
              <w:keepNext w:val="0"/>
              <w:keepLines/>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25</w:t>
            </w:r>
          </w:p>
        </w:tc>
        <w:tc>
          <w:tcPr>
            <w:tcW w:w="1136" w:type="pct"/>
            <w:vAlign w:val="center"/>
          </w:tcPr>
          <w:p>
            <w:pPr>
              <w:keepNext w:val="0"/>
              <w:keepLines/>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904" w:type="pct"/>
            <w:vAlign w:val="center"/>
          </w:tcPr>
          <w:p>
            <w:pPr>
              <w:keepNext w:val="0"/>
              <w:keepLines/>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w:t>
            </w:r>
          </w:p>
        </w:tc>
        <w:tc>
          <w:tcPr>
            <w:tcW w:w="1821" w:type="pct"/>
            <w:vAlign w:val="center"/>
          </w:tcPr>
          <w:p>
            <w:pPr>
              <w:keepNext w:val="0"/>
              <w:keepLines/>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网店运营推广</w:t>
            </w:r>
          </w:p>
        </w:tc>
        <w:tc>
          <w:tcPr>
            <w:tcW w:w="1136" w:type="pct"/>
            <w:vAlign w:val="center"/>
          </w:tcPr>
          <w:p>
            <w:pPr>
              <w:keepNext w:val="0"/>
              <w:keepLines/>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40</w:t>
            </w:r>
          </w:p>
        </w:tc>
        <w:tc>
          <w:tcPr>
            <w:tcW w:w="1136" w:type="pct"/>
            <w:vAlign w:val="center"/>
          </w:tcPr>
          <w:p>
            <w:pPr>
              <w:keepNext w:val="0"/>
              <w:keepLines/>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904" w:type="pct"/>
            <w:vAlign w:val="center"/>
          </w:tcPr>
          <w:p>
            <w:pPr>
              <w:keepNext w:val="0"/>
              <w:keepLines/>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w:t>
            </w:r>
          </w:p>
        </w:tc>
        <w:tc>
          <w:tcPr>
            <w:tcW w:w="1821" w:type="pct"/>
            <w:vAlign w:val="center"/>
          </w:tcPr>
          <w:p>
            <w:pPr>
              <w:keepNext w:val="0"/>
              <w:keepLines/>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直播销售及客户服务</w:t>
            </w:r>
          </w:p>
        </w:tc>
        <w:tc>
          <w:tcPr>
            <w:tcW w:w="1136" w:type="pct"/>
            <w:vAlign w:val="center"/>
          </w:tcPr>
          <w:p>
            <w:pPr>
              <w:keepNext w:val="0"/>
              <w:keepLines/>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35</w:t>
            </w:r>
          </w:p>
        </w:tc>
        <w:tc>
          <w:tcPr>
            <w:tcW w:w="1136" w:type="pct"/>
            <w:vAlign w:val="center"/>
          </w:tcPr>
          <w:p>
            <w:pPr>
              <w:keepNext w:val="0"/>
              <w:keepLines/>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150</w:t>
            </w:r>
          </w:p>
        </w:tc>
      </w:tr>
    </w:tbl>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模块一：网店开设装修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（一）赛题立意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竞赛模块紧跟产业发展趋势和电子商务行业人才需求，对接网店运营、网店美工相关岗位（群），及时将产业发展的新动向、新技术、新技能纳入竞赛内容，规划基于主流电商平台的网店规划与注册、网店首页设计与制作、商品主图视频设计与制作、商品详情页设计与制作等典型工作任务作为竞赛内容，全面</w:t>
      </w:r>
      <w:r>
        <w:rPr>
          <w:rFonts w:hint="eastAsia" w:ascii="仿宋_GB2312" w:hAnsi="仿宋_GB2312" w:eastAsia="仿宋_GB2312" w:cs="仿宋_GB2312"/>
          <w:sz w:val="28"/>
          <w:szCs w:val="28"/>
          <w:lang w:val="en-US" w:eastAsia="zh-CN"/>
        </w:rPr>
        <w:t>检验</w:t>
      </w:r>
      <w:r>
        <w:rPr>
          <w:rFonts w:hint="eastAsia" w:ascii="仿宋_GB2312" w:hAnsi="仿宋_GB2312" w:eastAsia="仿宋_GB2312" w:cs="仿宋_GB2312"/>
          <w:sz w:val="28"/>
          <w:szCs w:val="28"/>
        </w:rPr>
        <w:t>选手的</w:t>
      </w:r>
      <w:r>
        <w:rPr>
          <w:rFonts w:hint="eastAsia" w:ascii="仿宋_GB2312" w:hAnsi="仿宋_GB2312" w:eastAsia="仿宋_GB2312" w:cs="仿宋_GB2312"/>
          <w:sz w:val="28"/>
          <w:szCs w:val="28"/>
          <w:lang w:val="en-US" w:eastAsia="zh-CN"/>
        </w:rPr>
        <w:t>网店</w:t>
      </w:r>
      <w:r>
        <w:rPr>
          <w:rFonts w:hint="eastAsia" w:ascii="仿宋_GB2312" w:hAnsi="仿宋_GB2312" w:eastAsia="仿宋_GB2312" w:cs="仿宋_GB2312"/>
          <w:sz w:val="28"/>
          <w:szCs w:val="28"/>
        </w:rPr>
        <w:t>创设和维护能力、网店视觉设计能力、图文制作能力、商品短视频设计与</w:t>
      </w:r>
      <w:r>
        <w:rPr>
          <w:rFonts w:hint="eastAsia" w:ascii="仿宋_GB2312" w:hAnsi="仿宋_GB2312" w:eastAsia="仿宋_GB2312" w:cs="仿宋_GB2312"/>
          <w:sz w:val="28"/>
          <w:szCs w:val="28"/>
          <w:lang w:val="en-US" w:eastAsia="zh-CN"/>
        </w:rPr>
        <w:t>制作</w:t>
      </w:r>
      <w:r>
        <w:rPr>
          <w:rFonts w:hint="eastAsia" w:ascii="仿宋_GB2312" w:hAnsi="仿宋_GB2312" w:eastAsia="仿宋_GB2312" w:cs="仿宋_GB2312"/>
          <w:sz w:val="28"/>
          <w:szCs w:val="28"/>
        </w:rPr>
        <w:t>能力以及美学意识、沟通意识、合规意识等职业素养。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本模块所有任务均在竞赛平台创设的情境和构建的网店开设装修环境中完成，赛题类型均为操作题，任务设计立足电子商务相关法律法规、行业标准及平台规范，采用机考评分与结果评分相结合的方式进行评分。</w:t>
      </w:r>
    </w:p>
    <w:p>
      <w:pPr>
        <w:pStyle w:val="2"/>
        <w:keepNext w:val="0"/>
        <w:keepLines w:val="0"/>
        <w:pageBreakBefore w:val="0"/>
        <w:kinsoku/>
        <w:wordWrap/>
        <w:topLinePunct w:val="0"/>
        <w:bidi w:val="0"/>
        <w:snapToGrid/>
        <w:spacing w:before="0" w:after="0" w:line="360" w:lineRule="auto"/>
        <w:ind w:left="0" w:leftChars="0" w:firstLine="0" w:firstLineChars="0"/>
        <w:rPr>
          <w:rFonts w:hint="default" w:eastAsia="仿宋_GB2312"/>
          <w:lang w:val="en-US" w:eastAsia="zh-CN"/>
        </w:rPr>
      </w:pPr>
      <w:r>
        <w:rPr>
          <w:rFonts w:hint="eastAsia" w:ascii="仿宋_GB2312" w:hAnsi="仿宋_GB2312" w:eastAsia="仿宋_GB2312" w:cs="仿宋_GB2312"/>
          <w:sz w:val="28"/>
          <w:szCs w:val="28"/>
          <w:lang w:val="en-US" w:eastAsia="zh-CN"/>
        </w:rPr>
        <w:t xml:space="preserve">   （二）任务设计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本竞赛模块部分样题，如下所示：</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样题：网店首页设计与制作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戴格旗舰店在年中庆大促活动来临之前，网店运营人员准备对网店首页重新进行布局和装修，提前营造节日氛围。利用现有商品图片和相关</w:t>
      </w:r>
      <w:r>
        <w:rPr>
          <w:rFonts w:hint="eastAsia" w:ascii="仿宋_GB2312" w:hAnsi="仿宋_GB2312" w:eastAsia="仿宋_GB2312" w:cs="仿宋_GB2312"/>
          <w:sz w:val="28"/>
          <w:szCs w:val="28"/>
          <w:lang w:eastAsia="zh-CN"/>
        </w:rPr>
        <w:t>素材</w:t>
      </w:r>
      <w:r>
        <w:rPr>
          <w:rFonts w:hint="eastAsia" w:ascii="仿宋_GB2312" w:hAnsi="仿宋_GB2312" w:eastAsia="仿宋_GB2312" w:cs="仿宋_GB2312"/>
          <w:sz w:val="28"/>
          <w:szCs w:val="28"/>
        </w:rPr>
        <w:t>，设计与制作网店店招，并以风衣、衬衫、牛仔裤、连衣裙等四款商品为基础，分别为每款商品设计1张轮播图。</w:t>
      </w:r>
    </w:p>
    <w:p>
      <w:pPr>
        <w:pStyle w:val="2"/>
        <w:ind w:left="0" w:leftChars="0" w:firstLine="562" w:firstLineChars="200"/>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任务素材：</w:t>
      </w:r>
    </w:p>
    <w:p>
      <w:pPr>
        <w:spacing w:line="360" w:lineRule="auto"/>
        <w:ind w:firstLine="560" w:firstLineChars="200"/>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4款商品的图片素材、4款商品介绍文档各1份。</w:t>
      </w:r>
    </w:p>
    <w:p>
      <w:pPr>
        <w:spacing w:line="360" w:lineRule="auto"/>
        <w:ind w:firstLine="562" w:firstLineChars="200"/>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任务要求：</w:t>
      </w:r>
    </w:p>
    <w:p>
      <w:pPr>
        <w:spacing w:line="360" w:lineRule="auto"/>
        <w:ind w:firstLine="560" w:firstLineChars="200"/>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1.根据网店定位和首页设计需求，利用首页布局管理功能，完成网店首页布局；</w:t>
      </w:r>
    </w:p>
    <w:p>
      <w:p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2.根据网店首页布局，利用提供的素材，设计与制作1张网店店招；</w:t>
      </w:r>
    </w:p>
    <w:p>
      <w:pPr>
        <w:spacing w:line="360" w:lineRule="auto"/>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3.根据网店首页布局和营销需求，利用提供的素材，为4款商品分别设计与制作1张轮播图。</w:t>
      </w:r>
    </w:p>
    <w:p>
      <w:pPr>
        <w:spacing w:line="360" w:lineRule="auto"/>
        <w:ind w:firstLine="560" w:firstLineChars="200"/>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4.网店首页设计规范：店招图片尺寸为950像素*120像素；轮播图尺寸为950像素*250像素。支持JPG、PNG图片格式，每张图大小不得超过3MB。要求一组内的图片宽度、高度必须完全一致。</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操作过程</w:t>
      </w:r>
      <w:r>
        <w:rPr>
          <w:rFonts w:hint="eastAsia" w:ascii="仿宋_GB2312" w:hAnsi="仿宋_GB2312" w:eastAsia="仿宋_GB2312" w:cs="仿宋_GB2312"/>
          <w:b/>
          <w:bCs/>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1.网店首页布局；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2.制作并上传网店店招；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3.制作并上传网店轮播图；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4.网店首页发布。</w:t>
      </w:r>
    </w:p>
    <w:p>
      <w:pPr>
        <w:keepNext w:val="0"/>
        <w:pageBreakBefore w:val="0"/>
        <w:kinsoku/>
        <w:wordWrap/>
        <w:overflowPunct/>
        <w:topLinePunct w:val="0"/>
        <w:autoSpaceDE/>
        <w:autoSpaceDN/>
        <w:bidi w:val="0"/>
        <w:adjustRightInd/>
        <w:snapToGrid/>
        <w:spacing w:line="360" w:lineRule="auto"/>
        <w:ind w:right="210" w:rightChars="100" w:firstLine="562" w:firstLineChars="200"/>
        <w:jc w:val="left"/>
        <w:textAlignment w:val="auto"/>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模块二：网店运营推广</w:t>
      </w:r>
    </w:p>
    <w:p>
      <w:pPr>
        <w:keepNext w:val="0"/>
        <w:pageBreakBefore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（一）赛题立意</w:t>
      </w:r>
    </w:p>
    <w:p>
      <w:pPr>
        <w:keepNext w:val="0"/>
        <w:pageBreakBefore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本竞赛模块聚焦数字技术技能在网店运营推广领域的广泛应用，面向网络营销推广相关岗位（群），全面检验参赛选手的网店运营推广方案制定、网店运营推广实施以及网店运营推广数据分析与应用等专业能力，提升行业敏感度、运营意识、创新意识、团队协作等素养，促进复合型高质量电商技能人才的培养，助力我国电商行业高质量发展。</w:t>
      </w:r>
    </w:p>
    <w:p>
      <w:pPr>
        <w:keepNext w:val="0"/>
        <w:keepLines w:val="0"/>
        <w:pageBreakBefore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所有任务均在竞赛平台创设的情境和构建的网店运营推广环境中完成，赛题类型均为操作题，任务设计对标实际网店运营推广工作任务，立足行业标准与规范，采用机考方式进行评分。</w:t>
      </w:r>
    </w:p>
    <w:p>
      <w:pPr>
        <w:spacing w:line="360" w:lineRule="auto"/>
        <w:ind w:right="210" w:rightChars="100"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（二）情境创设</w:t>
      </w:r>
    </w:p>
    <w:p>
      <w:pPr>
        <w:spacing w:line="360" w:lineRule="auto"/>
        <w:ind w:right="210" w:rightChars="100"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戴格</w:t>
      </w:r>
      <w:r>
        <w:rPr>
          <w:rFonts w:hint="eastAsia" w:ascii="仿宋_GB2312" w:hAnsi="仿宋_GB2312" w:eastAsia="仿宋_GB2312" w:cs="仿宋_GB2312"/>
          <w:sz w:val="28"/>
          <w:szCs w:val="28"/>
          <w:lang w:eastAsia="zh-CN"/>
        </w:rPr>
        <w:t>旗舰店</w:t>
      </w:r>
      <w:r>
        <w:rPr>
          <w:rFonts w:hint="eastAsia" w:ascii="仿宋_GB2312" w:hAnsi="仿宋_GB2312" w:eastAsia="仿宋_GB2312" w:cs="仿宋_GB2312"/>
          <w:sz w:val="28"/>
          <w:szCs w:val="28"/>
          <w:lang w:val="en-US" w:eastAsia="zh-CN"/>
        </w:rPr>
        <w:t>是一家正在某主流电子商务平台上经营服装服饰的网店，主营风衣、连衣裙、衬衫等商品。网店主要面向18至28岁的潮流女生，提供</w:t>
      </w:r>
      <w:r>
        <w:rPr>
          <w:rFonts w:hint="eastAsia" w:ascii="仿宋_GB2312" w:hAnsi="仿宋_GB2312" w:eastAsia="仿宋_GB2312" w:cs="仿宋_GB2312"/>
          <w:sz w:val="28"/>
          <w:szCs w:val="28"/>
          <w:lang w:eastAsia="zh-CN"/>
        </w:rPr>
        <w:t>高性价比的</w:t>
      </w:r>
      <w:r>
        <w:rPr>
          <w:rFonts w:hint="eastAsia" w:ascii="仿宋_GB2312" w:hAnsi="仿宋_GB2312" w:eastAsia="仿宋_GB2312" w:cs="仿宋_GB2312"/>
          <w:sz w:val="28"/>
          <w:szCs w:val="28"/>
          <w:lang w:val="en-US" w:eastAsia="zh-CN"/>
        </w:rPr>
        <w:t>潮流女装</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为了吸引</w:t>
      </w:r>
      <w:r>
        <w:rPr>
          <w:rFonts w:hint="eastAsia" w:ascii="仿宋_GB2312" w:hAnsi="仿宋_GB2312" w:eastAsia="仿宋_GB2312" w:cs="仿宋_GB2312"/>
          <w:sz w:val="28"/>
          <w:szCs w:val="28"/>
          <w:lang w:eastAsia="zh-CN"/>
        </w:rPr>
        <w:t>更多消费者，</w:t>
      </w:r>
      <w:r>
        <w:rPr>
          <w:rFonts w:hint="eastAsia" w:ascii="仿宋_GB2312" w:hAnsi="仿宋_GB2312" w:eastAsia="仿宋_GB2312" w:cs="仿宋_GB2312"/>
          <w:sz w:val="28"/>
          <w:szCs w:val="28"/>
          <w:lang w:val="en-US" w:eastAsia="zh-CN"/>
        </w:rPr>
        <w:t>提高商品营销转化率，网店决定利用给定的推广预算，针对网店内泡泡袖连衣裙</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POLO领衬衫</w:t>
      </w:r>
      <w:r>
        <w:rPr>
          <w:rFonts w:hint="eastAsia" w:ascii="仿宋_GB2312" w:hAnsi="仿宋_GB2312" w:eastAsia="仿宋_GB2312" w:cs="仿宋_GB2312"/>
          <w:sz w:val="28"/>
          <w:szCs w:val="28"/>
          <w:lang w:eastAsia="zh-CN"/>
        </w:rPr>
        <w:t>、拉绒棉风衣、</w:t>
      </w:r>
      <w:r>
        <w:rPr>
          <w:rFonts w:hint="eastAsia" w:ascii="仿宋_GB2312" w:hAnsi="仿宋_GB2312" w:eastAsia="仿宋_GB2312" w:cs="仿宋_GB2312"/>
          <w:sz w:val="28"/>
          <w:szCs w:val="28"/>
          <w:lang w:val="en-US" w:eastAsia="zh-CN"/>
        </w:rPr>
        <w:t>假两件连衣裙、民族风衬衫、翻领衬衫等</w:t>
      </w:r>
      <w:r>
        <w:rPr>
          <w:rFonts w:hint="eastAsia" w:ascii="仿宋_GB2312" w:hAnsi="仿宋_GB2312" w:eastAsia="仿宋_GB2312" w:cs="仿宋_GB2312"/>
          <w:sz w:val="28"/>
          <w:szCs w:val="28"/>
          <w:lang w:eastAsia="zh-CN"/>
        </w:rPr>
        <w:t>6款商品</w:t>
      </w:r>
      <w:r>
        <w:rPr>
          <w:rFonts w:hint="eastAsia" w:ascii="仿宋_GB2312" w:hAnsi="仿宋_GB2312" w:eastAsia="仿宋_GB2312" w:cs="仿宋_GB2312"/>
          <w:sz w:val="28"/>
          <w:szCs w:val="28"/>
          <w:lang w:val="en-US" w:eastAsia="zh-CN"/>
        </w:rPr>
        <w:t>进行3个周期的网店运营推广。商品信息如下所示：</w:t>
      </w:r>
    </w:p>
    <w:p>
      <w:pPr>
        <w:spacing w:line="360" w:lineRule="auto"/>
        <w:ind w:right="210" w:rightChars="100" w:firstLine="560" w:firstLineChars="200"/>
        <w:jc w:val="left"/>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1.泡泡袖连衣裙</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这款高颜值实用升级泡泡袖连衣裙选用复古的红色波点雪纺面料，哑光质地面料，更能显示连衣裙高级感。在款式上选择了腰间加松紧的设计，这样穿着可以更好的遮挡腰间的赘肉，更加凸显蜂腰。本款五分袖雪纺碎花高腰连衣裙，既适合通勤，也适合文艺；泡泡袖方领套头印花设计，充满潮流时尚特色，同时加上褶皱印花的时尚元素，是今年秋季女装中难得的新品。</w:t>
      </w:r>
    </w:p>
    <w:p>
      <w:pPr>
        <w:spacing w:line="360" w:lineRule="auto"/>
        <w:ind w:right="210" w:rightChars="100" w:firstLine="560" w:firstLineChars="200"/>
        <w:jc w:val="left"/>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2.POLO领衬衫</w:t>
      </w:r>
    </w:p>
    <w:p>
      <w:pPr>
        <w:spacing w:line="360" w:lineRule="auto"/>
        <w:ind w:right="210" w:rightChars="100"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这款POLO领衬衫上衣采用圆扣收口，可挽起穿着，收口处紧密，不漏风，下摆前短后长的圆弧设计，休闲时尚，修饰身形，棉面料给你舒适的穿着体验。优质的棉质面料，触感轻柔，透气良好，厚薄适中，穿着舒适亲肤。本款衬衫既适合通勤也适合潮流，POLO领单排多扣条纹设计充满特色，同时加上通勤、条纹拼接的时尚元素，是今年秋季女装中难得的新品。</w:t>
      </w:r>
    </w:p>
    <w:p>
      <w:pPr>
        <w:spacing w:line="360" w:lineRule="auto"/>
        <w:ind w:right="210" w:rightChars="100" w:firstLine="560" w:firstLineChars="200"/>
        <w:jc w:val="left"/>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3.拉绒棉风衣</w:t>
      </w:r>
    </w:p>
    <w:p>
      <w:pPr>
        <w:spacing w:line="360" w:lineRule="auto"/>
        <w:ind w:right="210" w:rightChars="100"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这款拉绒棉风衣外套的版型是收腰A型的下摆，胸前的左侧做了单独的挡风片设计，半盖腰部，视觉上会很显瘦。长度为过膝长款，这种设计的风衣只有大长款才能显现出它的气场跟比例来。面料用的是高支长绒纯棉风衣料，面料不厚重，上身轻松舒适，很透气，保暖性强，是春季尤为合适的女装精选。</w:t>
      </w:r>
    </w:p>
    <w:p>
      <w:pPr>
        <w:spacing w:line="360" w:lineRule="auto"/>
        <w:ind w:right="210" w:rightChars="100" w:firstLine="560" w:firstLineChars="200"/>
        <w:jc w:val="left"/>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4.假两件连衣裙</w:t>
      </w:r>
    </w:p>
    <w:p>
      <w:pPr>
        <w:spacing w:line="360" w:lineRule="auto"/>
        <w:ind w:right="210" w:rightChars="100"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这款假两件连衣裙简约而不简单的版型设计优雅大方，腰身收紧彰显你纤细的身姿，凹出你的小蛮腰，优质面料，简约简单，很有少女气息。优雅动人，尽显女人气质，随意搭配，皆能完美地演绎出美丽冲动。连衣裙修身裁剪，起到显瘦效果，时尚领口尽显脖颈修长，锁骨之美，裙子优雅又不失美丽。</w:t>
      </w:r>
    </w:p>
    <w:p>
      <w:pPr>
        <w:spacing w:line="360" w:lineRule="auto"/>
        <w:ind w:right="210" w:rightChars="100" w:firstLine="560" w:firstLineChars="200"/>
        <w:jc w:val="left"/>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5.民族风衬衫</w:t>
      </w:r>
    </w:p>
    <w:p>
      <w:pPr>
        <w:spacing w:line="360" w:lineRule="auto"/>
        <w:ind w:right="210" w:rightChars="100"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这款民族风衬衫采用撞色图案绣花，单排多扣设计充满文艺特色。同时加上文艺、民族风的时尚元素，文艺的同时还不失潮流感；纯棉的面料，保暖舒适。时尚修身、显瘦洋气、百搭气质时髦休闲的中国风衬衫女装，让每一个中国女人穿出美美的时尚中国味道。</w:t>
      </w:r>
    </w:p>
    <w:p>
      <w:pPr>
        <w:spacing w:line="360" w:lineRule="auto"/>
        <w:ind w:right="210" w:rightChars="100" w:firstLine="560" w:firstLineChars="200"/>
        <w:jc w:val="left"/>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6.翻领衬衫</w:t>
      </w:r>
    </w:p>
    <w:p>
      <w:pPr>
        <w:spacing w:line="360" w:lineRule="auto"/>
        <w:ind w:right="210" w:rightChars="100"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这款特色防风翻领衬衫采用耐穿舒适的风衣混纺面料，用心的细节让你脱颖而出，撞色复古的仿木质纽扣，双排扣结合收腰蝴蝶结系带，防风防寒的袖口系带，匠心成就质量追求。本款中长简约宽松通勤风衣，翻领插肩袖双排扣蝴蝶结系带设计，充满潮流时尚，混纺的面料，舒适耐穿。</w:t>
      </w:r>
    </w:p>
    <w:p>
      <w:pPr>
        <w:spacing w:line="360" w:lineRule="auto"/>
        <w:ind w:right="210" w:rightChars="100"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（三）任务设计</w:t>
      </w:r>
    </w:p>
    <w:p>
      <w:pPr>
        <w:spacing w:line="360" w:lineRule="auto"/>
        <w:ind w:right="210" w:rightChars="100"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本竞赛模块部分样题，如下所示：</w:t>
      </w:r>
    </w:p>
    <w:p>
      <w:pPr>
        <w:pStyle w:val="2"/>
        <w:ind w:left="0" w:leftChars="0" w:firstLine="0" w:firstLineChars="0"/>
        <w:rPr>
          <w:rFonts w:hint="default"/>
          <w:lang w:val="en-US" w:eastAsia="zh-CN"/>
        </w:rPr>
      </w:pP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bCs/>
          <w:sz w:val="28"/>
          <w:szCs w:val="28"/>
          <w:lang w:val="en-US" w:eastAsia="zh-CN"/>
        </w:rPr>
        <w:t xml:space="preserve"> 样题：网店运营推广实施</w:t>
      </w:r>
    </w:p>
    <w:p>
      <w:pPr>
        <w:spacing w:line="360" w:lineRule="auto"/>
        <w:ind w:right="210" w:rightChars="100"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完成</w:t>
      </w:r>
      <w:r>
        <w:rPr>
          <w:rFonts w:hint="eastAsia" w:ascii="仿宋_GB2312" w:hAnsi="仿宋_GB2312" w:eastAsia="仿宋_GB2312" w:cs="仿宋_GB2312"/>
          <w:b w:val="0"/>
          <w:bCs w:val="0"/>
          <w:sz w:val="28"/>
          <w:szCs w:val="28"/>
          <w:lang w:eastAsia="zh-CN"/>
        </w:rPr>
        <w:t>网店运营推广方案</w:t>
      </w:r>
      <w:r>
        <w:rPr>
          <w:rFonts w:hint="eastAsia" w:ascii="仿宋_GB2312" w:hAnsi="仿宋_GB2312" w:eastAsia="仿宋_GB2312" w:cs="仿宋_GB2312"/>
          <w:b w:val="0"/>
          <w:bCs w:val="0"/>
          <w:sz w:val="28"/>
          <w:szCs w:val="28"/>
          <w:lang w:val="en-US" w:eastAsia="zh-CN"/>
        </w:rPr>
        <w:t>的制定之后</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戴格旗舰店接下来根据制定好的网店运营推广方案，利用竞赛平台提供的推广环境，通过搜索引擎优化方式，利用搜索引擎、推荐引擎两种推广渠道，结合网店商品信息，完成连续3个周期的搜索引擎优化、搜索引擎推广与优化、推荐引擎推广与优化实施，提高网店运营推广的整体效果。</w:t>
      </w:r>
    </w:p>
    <w:p>
      <w:pPr>
        <w:spacing w:line="360" w:lineRule="auto"/>
        <w:ind w:right="210" w:rightChars="100"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任务要求：</w:t>
      </w:r>
    </w:p>
    <w:p>
      <w:pPr>
        <w:spacing w:line="360" w:lineRule="auto"/>
        <w:ind w:right="210" w:rightChars="100"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1.根据搜索引擎优化方案，结合搜索引擎的排名规则，完成搜索引擎优化，提高商品自然搜索排名；</w:t>
      </w:r>
    </w:p>
    <w:p>
      <w:pPr>
        <w:spacing w:line="360" w:lineRule="auto"/>
        <w:ind w:right="210" w:rightChars="100"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2.根据搜索引擎推广方案，结合搜索引擎推广的竞价机制，完成搜索引擎推广，获取精准流量，提高商品的点击量和成交量；</w:t>
      </w:r>
    </w:p>
    <w:p>
      <w:pPr>
        <w:spacing w:line="360" w:lineRule="auto"/>
        <w:ind w:right="210" w:rightChars="100"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3.根据推荐引擎推广方案，结合推荐引擎推广的推荐机制，完成推荐引擎推广，增加商品有效曝光，提高商品的点击量和成交量。</w:t>
      </w:r>
    </w:p>
    <w:p>
      <w:pPr>
        <w:spacing w:line="360" w:lineRule="auto"/>
        <w:ind w:right="210" w:rightChars="100" w:firstLine="560" w:firstLineChars="200"/>
        <w:jc w:val="left"/>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操作过程：</w:t>
      </w:r>
    </w:p>
    <w:p>
      <w:pPr>
        <w:spacing w:line="360" w:lineRule="auto"/>
        <w:ind w:right="210" w:rightChars="100"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1.搜索引擎优化</w:t>
      </w:r>
    </w:p>
    <w:p>
      <w:pPr>
        <w:spacing w:line="360" w:lineRule="auto"/>
        <w:ind w:right="210" w:rightChars="100"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挖掘整理关键词—分析关键词数据—筛选与商品或网店匹配的关键词—借助搜索排名查询工具，对商品内容进行优化。</w:t>
      </w:r>
    </w:p>
    <w:p>
      <w:pPr>
        <w:spacing w:line="360" w:lineRule="auto"/>
        <w:ind w:right="210" w:rightChars="100" w:firstLine="560" w:firstLineChars="200"/>
        <w:jc w:val="left"/>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2.搜索引擎推广实施</w:t>
      </w:r>
    </w:p>
    <w:p>
      <w:pPr>
        <w:spacing w:line="360" w:lineRule="auto"/>
        <w:ind w:right="210" w:rightChars="100"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搜索引擎推广账户搭建—推广计划制定—推广商品选择—推广关键词筛选—推广关键词添加与出价—人群定向与溢价—推广创意内容设计—推广时间及地域定向—设置推广预算并实施搜索引擎推广。</w:t>
      </w:r>
    </w:p>
    <w:p>
      <w:pPr>
        <w:spacing w:line="360" w:lineRule="auto"/>
        <w:ind w:right="210" w:rightChars="100" w:firstLine="560" w:firstLineChars="200"/>
        <w:jc w:val="left"/>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3.推荐引擎推广实施</w:t>
      </w:r>
    </w:p>
    <w:p>
      <w:pPr>
        <w:spacing w:line="360" w:lineRule="auto"/>
        <w:ind w:right="210" w:rightChars="100"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搭建推荐引擎推广账户—新建计划组—选择付费方式—圈定目标推广人群—确定推广资源位—选择投放时间及地域—设置预算并实施推荐引擎推广。</w:t>
      </w:r>
    </w:p>
    <w:p>
      <w:pPr>
        <w:bidi w:val="0"/>
        <w:ind w:firstLine="562" w:firstLineChars="200"/>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模块三：直播销售及客户服务</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（一）赛题立意</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随着技术的进步，电子商务行业的发展更加多元化，以直播电商为代表的电子商务新模式迭代加速，依托这种销售模式而兴起的“直播销售员”成为职业的新趋势和新选择。同时伴随着“人、货、场”的不断变化，电子商务企业的经营重心也逐渐由以商品销售为中心转变为以客户服务为中心，实现了从流量经营到客户经营的转变，从而对客服从业人员提出了更高的要求，客户服务岗位也逐步向服务价值化、服务数字智能化、服务营销一体化转变。直播销售及客户服务模块紧跟产业发展趋势和电商行业人才需求，及时将电子商务产业发展的新职业—直播销售员和电子商务产业发展的新技术—智能客服纳入竞赛内容，对接直播销售、客户服务相关岗位（群），规划直播销售、智能客服问答处理、客户异议处理等直播销售及客户服务的典型工作任务，全面考查选手的直播控场能力、直播销售能力、引导成交能力、客户需求分析能力、客户问题处理能力、客户异议处理能力、智能客服工具应用能力和数字技术应用能力以及消费者洞察力、服务意识、团队协作等素养。</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所有任务均在竞赛平台创设的情境和构建的直播销售及客户服务环境中，赛题类型均为操作题，按照直播流程和客户服务要求实施。竞赛平台根据直播和智能客服底层逻辑，结合电商行业特性，采用机考评分和结果评分相结合的方式，对任务实施效果给出符合行业标准的科学评价。</w:t>
      </w:r>
    </w:p>
    <w:p>
      <w:pPr>
        <w:pStyle w:val="2"/>
        <w:keepNext w:val="0"/>
        <w:keepLines w:val="0"/>
        <w:pageBreakBefore w:val="0"/>
        <w:kinsoku/>
        <w:wordWrap/>
        <w:topLinePunct w:val="0"/>
        <w:bidi w:val="0"/>
        <w:snapToGrid/>
        <w:spacing w:before="0" w:after="0" w:line="360" w:lineRule="auto"/>
        <w:ind w:left="0" w:leftChars="0" w:firstLine="0" w:firstLineChars="0"/>
        <w:rPr>
          <w:rFonts w:hint="default" w:eastAsia="仿宋_GB2312"/>
          <w:lang w:val="en-US" w:eastAsia="zh-CN"/>
        </w:rPr>
      </w:pPr>
      <w:r>
        <w:rPr>
          <w:rFonts w:hint="eastAsia" w:ascii="仿宋_GB2312" w:hAnsi="仿宋_GB2312" w:eastAsia="仿宋_GB2312" w:cs="仿宋_GB2312"/>
          <w:sz w:val="28"/>
          <w:szCs w:val="28"/>
          <w:lang w:val="en-US" w:eastAsia="zh-CN"/>
        </w:rPr>
        <w:t xml:space="preserve">   （二）任务设计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lang w:val="en-US" w:eastAsia="zh-CN"/>
        </w:rPr>
      </w:pPr>
      <w:r>
        <w:rPr>
          <w:rFonts w:hint="eastAsia" w:ascii="仿宋_GB2312" w:hAnsi="仿宋_GB2312" w:eastAsia="仿宋_GB2312" w:cs="仿宋_GB2312"/>
          <w:sz w:val="28"/>
          <w:szCs w:val="28"/>
        </w:rPr>
        <w:t>本竞赛模块部分样题，如下所示：</w:t>
      </w:r>
    </w:p>
    <w:p>
      <w:pPr>
        <w:spacing w:line="360" w:lineRule="auto"/>
        <w:ind w:right="210" w:rightChars="100" w:firstLine="562" w:firstLineChars="200"/>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样题1：直播销售</w:t>
      </w:r>
    </w:p>
    <w:p>
      <w:pPr>
        <w:spacing w:line="360" w:lineRule="auto"/>
        <w:ind w:right="210" w:rightChars="100"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百分鲜果旗舰店主要销售冰糖橙、苹果、龙眼等商品，网店的销量一直很可观，已经积累了很多忠实客户。恰逢网店周年庆活动，百分鲜果旗舰店为了回馈老客户和吸引新客户，计划开展一次直播活动。为了保证直播效果，网店选取了店里销量最好的冰糖橙和苹果两款商品作为直播商品。</w:t>
      </w:r>
    </w:p>
    <w:p>
      <w:pPr>
        <w:spacing w:line="360" w:lineRule="auto"/>
        <w:ind w:right="210" w:rightChars="100" w:firstLine="562" w:firstLineChars="200"/>
        <w:jc w:val="left"/>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任务素材：</w:t>
      </w:r>
    </w:p>
    <w:p>
      <w:pPr>
        <w:spacing w:line="360" w:lineRule="auto"/>
        <w:ind w:right="210" w:rightChars="100"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每款商品介绍文档各1份，人物设定文档1份。</w:t>
      </w:r>
    </w:p>
    <w:p>
      <w:pPr>
        <w:spacing w:line="360" w:lineRule="auto"/>
        <w:ind w:right="210" w:rightChars="100" w:firstLine="562" w:firstLineChars="200"/>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任务要求：</w:t>
      </w:r>
    </w:p>
    <w:p>
      <w:pPr>
        <w:spacing w:line="360" w:lineRule="auto"/>
        <w:ind w:right="210" w:rightChars="100"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根据提供的素材，策划直播内容，设置互动活动和购买页信息，以给定的人物设定身份用普通话完成一场两款商品10分钟的直播销售。</w:t>
      </w:r>
    </w:p>
    <w:p>
      <w:pPr>
        <w:spacing w:line="360" w:lineRule="auto"/>
        <w:ind w:right="210" w:rightChars="100" w:firstLine="562" w:firstLineChars="200"/>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操作过程：</w:t>
      </w:r>
    </w:p>
    <w:p>
      <w:pPr>
        <w:spacing w:line="360" w:lineRule="auto"/>
        <w:ind w:right="210" w:rightChars="100"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1.策划直播内容；</w:t>
      </w:r>
    </w:p>
    <w:p>
      <w:pPr>
        <w:spacing w:line="360" w:lineRule="auto"/>
        <w:ind w:right="210" w:rightChars="100"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2.设置直播互动活动及购买页；</w:t>
      </w:r>
    </w:p>
    <w:p>
      <w:pPr>
        <w:spacing w:line="360" w:lineRule="auto"/>
        <w:ind w:right="210" w:rightChars="100"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3.直播开场介绍；</w:t>
      </w:r>
    </w:p>
    <w:p>
      <w:pPr>
        <w:spacing w:line="360" w:lineRule="auto"/>
        <w:ind w:right="210" w:rightChars="100"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4.直播商品介绍与展示；</w:t>
      </w:r>
    </w:p>
    <w:p>
      <w:pPr>
        <w:spacing w:line="360" w:lineRule="auto"/>
        <w:ind w:right="210" w:rightChars="100"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5.直播商品上架；</w:t>
      </w:r>
    </w:p>
    <w:p>
      <w:pPr>
        <w:spacing w:line="360" w:lineRule="auto"/>
        <w:ind w:right="210" w:rightChars="100"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6.直播弹幕互动；</w:t>
      </w:r>
    </w:p>
    <w:p>
      <w:pPr>
        <w:spacing w:line="360" w:lineRule="auto"/>
        <w:ind w:right="210" w:rightChars="100"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7.直播收尾。</w:t>
      </w:r>
    </w:p>
    <w:p>
      <w:pPr>
        <w:spacing w:line="360" w:lineRule="auto"/>
        <w:ind w:right="210" w:rightChars="100" w:firstLine="562" w:firstLineChars="200"/>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样题2：智能客服问答处理</w:t>
      </w:r>
    </w:p>
    <w:p>
      <w:pPr>
        <w:spacing w:line="360" w:lineRule="auto"/>
        <w:ind w:right="210" w:rightChars="100"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百分鲜果旗舰店进行线上运营后，龙眼、黄瓜、樱桃、蓝莓、羊角蜜等五款商品销量大幅提升，客户咨询数量也大大增加。由于客服人员有限，因不能及时回复而导致部分客户流失。为了改善这种情况，客户服务人员归纳整理出客户高频问题及标准回复话术，借助智能客服工具，设置快捷回复，辅助客服及时、准确地应答客户的各类问题，提高客户响应效率和客户满意度。</w:t>
      </w:r>
    </w:p>
    <w:p>
      <w:pPr>
        <w:spacing w:line="360" w:lineRule="auto"/>
        <w:ind w:right="210" w:rightChars="100" w:firstLine="281" w:firstLineChars="100"/>
        <w:jc w:val="left"/>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任务素材：</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ind w:right="210" w:rightChars="100"/>
              <w:jc w:val="left"/>
              <w:rPr>
                <w:rFonts w:hint="default" w:ascii="仿宋_GB2312" w:hAnsi="仿宋_GB2312" w:eastAsia="仿宋_GB2312" w:cs="仿宋_GB2312"/>
                <w:b/>
                <w:bCs/>
                <w:sz w:val="28"/>
                <w:szCs w:val="28"/>
                <w:lang w:val="en-US" w:eastAsia="zh-CN"/>
              </w:rPr>
            </w:pPr>
            <w:bookmarkStart w:id="0" w:name="Note"/>
            <w:r>
              <w:rPr>
                <w:rFonts w:hint="eastAsia" w:ascii="仿宋_GB2312" w:hAnsi="仿宋_GB2312" w:eastAsia="仿宋_GB2312" w:cs="仿宋_GB2312"/>
                <w:b/>
                <w:bCs/>
                <w:sz w:val="28"/>
                <w:szCs w:val="28"/>
                <w:lang w:val="en-US" w:eastAsia="zh-CN"/>
              </w:rPr>
              <w:t>商品</w:t>
            </w:r>
            <w:r>
              <w:rPr>
                <w:rFonts w:hint="default" w:ascii="仿宋_GB2312" w:hAnsi="仿宋_GB2312" w:eastAsia="仿宋_GB2312" w:cs="仿宋_GB2312"/>
                <w:b/>
                <w:bCs/>
                <w:sz w:val="28"/>
                <w:szCs w:val="28"/>
                <w:lang w:val="en-US" w:eastAsia="zh-CN"/>
              </w:rPr>
              <w:t>信息：</w:t>
            </w:r>
          </w:p>
          <w:bookmarkEnd w:id="0"/>
          <w:p>
            <w:pPr>
              <w:spacing w:line="360" w:lineRule="auto"/>
              <w:ind w:right="210" w:rightChars="100" w:firstLine="562" w:firstLineChars="200"/>
              <w:jc w:val="left"/>
              <w:rPr>
                <w:rFonts w:hint="eastAsia" w:ascii="仿宋_GB2312" w:hAnsi="仿宋_GB2312" w:eastAsia="仿宋_GB2312" w:cs="仿宋_GB2312"/>
                <w:b/>
                <w:bCs/>
                <w:sz w:val="28"/>
                <w:szCs w:val="28"/>
                <w:rtl w:val="0"/>
                <w:lang w:val="en-US" w:eastAsia="zh-CN"/>
              </w:rPr>
            </w:pPr>
            <w:r>
              <w:rPr>
                <w:rFonts w:hint="eastAsia" w:ascii="仿宋_GB2312" w:hAnsi="仿宋_GB2312" w:eastAsia="仿宋_GB2312" w:cs="仿宋_GB2312"/>
                <w:b/>
                <w:bCs/>
                <w:sz w:val="28"/>
                <w:szCs w:val="28"/>
                <w:rtl w:val="0"/>
                <w:lang w:val="en-US" w:eastAsia="zh-CN"/>
              </w:rPr>
              <w:t>1.龙眼</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该龙眼是泰国进口新鲜龙眼，肉厚核小、晶莹剔透、甜蜜多汁，而且其果实营养丰富，是名贵的高级滋补品，具有补益心脾、养血安神的功能。而且现在下单可享受满19元减10元的优惠。</w:t>
            </w:r>
          </w:p>
          <w:tbl>
            <w:tblPr>
              <w:tblStyle w:val="11"/>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384"/>
              <w:gridCol w:w="1384"/>
              <w:gridCol w:w="1384"/>
              <w:gridCol w:w="1385"/>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商品名称</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龙眼</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储存方法</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低温保鲜</w:t>
                  </w:r>
                </w:p>
              </w:tc>
              <w:tc>
                <w:tcPr>
                  <w:tcW w:w="13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保质期</w:t>
                  </w:r>
                </w:p>
              </w:tc>
              <w:tc>
                <w:tcPr>
                  <w:tcW w:w="13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食品添加剂</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无</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产地</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泰国</w:t>
                  </w:r>
                </w:p>
              </w:tc>
              <w:tc>
                <w:tcPr>
                  <w:tcW w:w="13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是否为有机食品</w:t>
                  </w:r>
                </w:p>
              </w:tc>
              <w:tc>
                <w:tcPr>
                  <w:tcW w:w="13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同城服务</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同城24小时物流送货上门</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包装方式</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包装</w:t>
                  </w:r>
                </w:p>
              </w:tc>
              <w:tc>
                <w:tcPr>
                  <w:tcW w:w="13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售卖方式</w:t>
                  </w:r>
                </w:p>
              </w:tc>
              <w:tc>
                <w:tcPr>
                  <w:tcW w:w="13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单品套餐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份量</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3人份</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净含量</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1斤、3斤、5斤</w:t>
                  </w:r>
                </w:p>
              </w:tc>
              <w:tc>
                <w:tcPr>
                  <w:tcW w:w="13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生鲜储存温度</w:t>
                  </w:r>
                </w:p>
              </w:tc>
              <w:tc>
                <w:tcPr>
                  <w:tcW w:w="138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0-8℃</w:t>
                  </w:r>
                </w:p>
              </w:tc>
            </w:tr>
          </w:tbl>
          <w:p>
            <w:pPr>
              <w:spacing w:line="360" w:lineRule="auto"/>
              <w:ind w:right="210" w:rightChars="100" w:firstLine="562" w:firstLineChars="200"/>
              <w:jc w:val="left"/>
              <w:rPr>
                <w:rFonts w:hint="eastAsia" w:ascii="仿宋_GB2312" w:hAnsi="仿宋_GB2312" w:eastAsia="仿宋_GB2312" w:cs="仿宋_GB2312"/>
                <w:b/>
                <w:bCs/>
                <w:sz w:val="28"/>
                <w:szCs w:val="28"/>
                <w:rtl w:val="0"/>
                <w:lang w:val="en-US" w:eastAsia="zh-CN"/>
              </w:rPr>
            </w:pPr>
            <w:r>
              <w:rPr>
                <w:rFonts w:hint="eastAsia" w:ascii="仿宋_GB2312" w:hAnsi="仿宋_GB2312" w:eastAsia="仿宋_GB2312" w:cs="仿宋_GB2312"/>
                <w:b/>
                <w:bCs/>
                <w:sz w:val="28"/>
                <w:szCs w:val="28"/>
                <w:rtl w:val="0"/>
                <w:lang w:val="en-US" w:eastAsia="zh-CN"/>
              </w:rPr>
              <w:t>2.樱桃</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我们的樱桃每天清晨，伴着雨露在果园现摘现发，锁住新鲜。果子硬时酸甜，软时香甜，一口下去汁水环绕整个味蕾。店铺樱桃全部人工采摘，颗颗精心挑选，严格分拣后，立即发货。果子成长过程中，不用添加剂，不用催熟剂，让果子自然成熟。现在下单还可享受4折优惠。</w:t>
            </w:r>
          </w:p>
          <w:tbl>
            <w:tblPr>
              <w:tblStyle w:val="10"/>
              <w:tblW w:w="5063" w:type="pct"/>
              <w:tblInd w:w="6"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autofit"/>
              <w:tblCellMar>
                <w:top w:w="0" w:type="dxa"/>
                <w:left w:w="0" w:type="dxa"/>
                <w:bottom w:w="0" w:type="dxa"/>
                <w:right w:w="0" w:type="dxa"/>
              </w:tblCellMar>
            </w:tblPr>
            <w:tblGrid>
              <w:gridCol w:w="1716"/>
              <w:gridCol w:w="1537"/>
              <w:gridCol w:w="1458"/>
              <w:gridCol w:w="825"/>
              <w:gridCol w:w="1117"/>
              <w:gridCol w:w="1742"/>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rHeight w:val="850" w:hRule="atLeast"/>
              </w:trPr>
              <w:tc>
                <w:tcPr>
                  <w:tcW w:w="1022"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商品名称</w:t>
                  </w:r>
                </w:p>
              </w:tc>
              <w:tc>
                <w:tcPr>
                  <w:tcW w:w="915"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樱桃</w:t>
                  </w:r>
                </w:p>
              </w:tc>
              <w:tc>
                <w:tcPr>
                  <w:tcW w:w="868"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保质期</w:t>
                  </w:r>
                </w:p>
              </w:tc>
              <w:tc>
                <w:tcPr>
                  <w:tcW w:w="491"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7天</w:t>
                  </w:r>
                </w:p>
              </w:tc>
              <w:tc>
                <w:tcPr>
                  <w:tcW w:w="665"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产地</w:t>
                  </w:r>
                </w:p>
              </w:tc>
              <w:tc>
                <w:tcPr>
                  <w:tcW w:w="1037"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大连市</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rHeight w:val="850" w:hRule="atLeast"/>
              </w:trPr>
              <w:tc>
                <w:tcPr>
                  <w:tcW w:w="1022"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是否为有机食品</w:t>
                  </w:r>
                </w:p>
              </w:tc>
              <w:tc>
                <w:tcPr>
                  <w:tcW w:w="915"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否</w:t>
                  </w:r>
                </w:p>
              </w:tc>
              <w:tc>
                <w:tcPr>
                  <w:tcW w:w="868"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包装方式</w:t>
                  </w:r>
                </w:p>
              </w:tc>
              <w:tc>
                <w:tcPr>
                  <w:tcW w:w="491"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包装</w:t>
                  </w:r>
                </w:p>
              </w:tc>
              <w:tc>
                <w:tcPr>
                  <w:tcW w:w="665"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售卖方式</w:t>
                  </w:r>
                </w:p>
              </w:tc>
              <w:tc>
                <w:tcPr>
                  <w:tcW w:w="1037"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单品</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rHeight w:val="850" w:hRule="atLeast"/>
              </w:trPr>
              <w:tc>
                <w:tcPr>
                  <w:tcW w:w="1022"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套餐份量</w:t>
                  </w:r>
                </w:p>
              </w:tc>
              <w:tc>
                <w:tcPr>
                  <w:tcW w:w="915"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5人份</w:t>
                  </w:r>
                </w:p>
              </w:tc>
              <w:tc>
                <w:tcPr>
                  <w:tcW w:w="868"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生鲜储存温度</w:t>
                  </w:r>
                </w:p>
              </w:tc>
              <w:tc>
                <w:tcPr>
                  <w:tcW w:w="491"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0-3℃</w:t>
                  </w:r>
                </w:p>
              </w:tc>
              <w:tc>
                <w:tcPr>
                  <w:tcW w:w="665"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适用人群</w:t>
                  </w:r>
                </w:p>
              </w:tc>
              <w:tc>
                <w:tcPr>
                  <w:tcW w:w="1037"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男女老少皆宜</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rHeight w:val="850" w:hRule="atLeast"/>
              </w:trPr>
              <w:tc>
                <w:tcPr>
                  <w:tcW w:w="1022"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单果规格（mm）</w:t>
                  </w:r>
                </w:p>
              </w:tc>
              <w:tc>
                <w:tcPr>
                  <w:tcW w:w="915"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26-28、28-30、30-32</w:t>
                  </w:r>
                </w:p>
              </w:tc>
              <w:tc>
                <w:tcPr>
                  <w:tcW w:w="868"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食品添加剂</w:t>
                  </w:r>
                </w:p>
              </w:tc>
              <w:tc>
                <w:tcPr>
                  <w:tcW w:w="491"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无</w:t>
                  </w:r>
                </w:p>
              </w:tc>
              <w:tc>
                <w:tcPr>
                  <w:tcW w:w="665"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同城服务</w:t>
                  </w:r>
                </w:p>
              </w:tc>
              <w:tc>
                <w:tcPr>
                  <w:tcW w:w="1037"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同城24小时物流送货上门</w:t>
                  </w:r>
                </w:p>
              </w:tc>
            </w:tr>
          </w:tbl>
          <w:p>
            <w:pPr>
              <w:spacing w:line="360" w:lineRule="auto"/>
              <w:ind w:right="210" w:rightChars="100" w:firstLine="562" w:firstLineChars="200"/>
              <w:jc w:val="left"/>
              <w:rPr>
                <w:rFonts w:hint="eastAsia" w:ascii="仿宋_GB2312" w:hAnsi="仿宋_GB2312" w:eastAsia="仿宋_GB2312" w:cs="仿宋_GB2312"/>
                <w:b/>
                <w:bCs/>
                <w:sz w:val="28"/>
                <w:szCs w:val="28"/>
                <w:rtl w:val="0"/>
                <w:lang w:val="en-US" w:eastAsia="zh-CN"/>
              </w:rPr>
            </w:pPr>
            <w:r>
              <w:rPr>
                <w:rFonts w:hint="eastAsia" w:ascii="仿宋_GB2312" w:hAnsi="仿宋_GB2312" w:eastAsia="仿宋_GB2312" w:cs="仿宋_GB2312"/>
                <w:b/>
                <w:bCs/>
                <w:sz w:val="28"/>
                <w:szCs w:val="28"/>
                <w:rtl w:val="0"/>
                <w:lang w:val="en-US" w:eastAsia="zh-CN"/>
              </w:rPr>
              <w:t>3.黄瓜</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该商品采用原产地直供的模式，果园直采，新鲜发货，小黄瓜色泽翠绿诱人，口感清新，果肉水分充足。果农精选筛选，手工摘叶子，剔除坏果，保证每一根黄瓜都鲜美爽口。现在下单还可享受满20元减10元的优惠。</w:t>
            </w:r>
          </w:p>
          <w:tbl>
            <w:tblPr>
              <w:tblStyle w:val="10"/>
              <w:tblW w:w="5099" w:type="pct"/>
              <w:jc w:val="center"/>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autofit"/>
              <w:tblCellMar>
                <w:top w:w="0" w:type="dxa"/>
                <w:left w:w="0" w:type="dxa"/>
                <w:bottom w:w="0" w:type="dxa"/>
                <w:right w:w="0" w:type="dxa"/>
              </w:tblCellMar>
            </w:tblPr>
            <w:tblGrid>
              <w:gridCol w:w="1367"/>
              <w:gridCol w:w="1074"/>
              <w:gridCol w:w="1802"/>
              <w:gridCol w:w="1316"/>
              <w:gridCol w:w="1115"/>
              <w:gridCol w:w="1781"/>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808"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商品名称</w:t>
                  </w:r>
                </w:p>
              </w:tc>
              <w:tc>
                <w:tcPr>
                  <w:tcW w:w="635"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黄瓜</w:t>
                  </w:r>
                </w:p>
              </w:tc>
              <w:tc>
                <w:tcPr>
                  <w:tcW w:w="1065"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储藏方法</w:t>
                  </w:r>
                </w:p>
              </w:tc>
              <w:tc>
                <w:tcPr>
                  <w:tcW w:w="778"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低温保鲜</w:t>
                  </w:r>
                </w:p>
              </w:tc>
              <w:tc>
                <w:tcPr>
                  <w:tcW w:w="659"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保质期</w:t>
                  </w:r>
                </w:p>
              </w:tc>
              <w:tc>
                <w:tcPr>
                  <w:tcW w:w="1052"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7天</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808"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食品添加剂</w:t>
                  </w:r>
                </w:p>
              </w:tc>
              <w:tc>
                <w:tcPr>
                  <w:tcW w:w="635"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无</w:t>
                  </w:r>
                </w:p>
              </w:tc>
              <w:tc>
                <w:tcPr>
                  <w:tcW w:w="1065"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系列</w:t>
                  </w:r>
                </w:p>
              </w:tc>
              <w:tc>
                <w:tcPr>
                  <w:tcW w:w="778"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蔬菜</w:t>
                  </w:r>
                </w:p>
              </w:tc>
              <w:tc>
                <w:tcPr>
                  <w:tcW w:w="659"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规格</w:t>
                  </w:r>
                </w:p>
              </w:tc>
              <w:tc>
                <w:tcPr>
                  <w:tcW w:w="1052"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5斤装</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808"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产地</w:t>
                  </w:r>
                </w:p>
              </w:tc>
              <w:tc>
                <w:tcPr>
                  <w:tcW w:w="635"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潍坊市</w:t>
                  </w:r>
                </w:p>
              </w:tc>
              <w:tc>
                <w:tcPr>
                  <w:tcW w:w="1065"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是否为有机食品</w:t>
                  </w:r>
                </w:p>
              </w:tc>
              <w:tc>
                <w:tcPr>
                  <w:tcW w:w="778"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否</w:t>
                  </w:r>
                </w:p>
              </w:tc>
              <w:tc>
                <w:tcPr>
                  <w:tcW w:w="659"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套餐份量</w:t>
                  </w:r>
                </w:p>
              </w:tc>
              <w:tc>
                <w:tcPr>
                  <w:tcW w:w="1052"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3人份</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808"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净含量</w:t>
                  </w:r>
                </w:p>
              </w:tc>
              <w:tc>
                <w:tcPr>
                  <w:tcW w:w="635"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2500g</w:t>
                  </w:r>
                </w:p>
              </w:tc>
              <w:tc>
                <w:tcPr>
                  <w:tcW w:w="1065"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生鲜储存温度</w:t>
                  </w:r>
                </w:p>
              </w:tc>
              <w:tc>
                <w:tcPr>
                  <w:tcW w:w="778"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0-8℃</w:t>
                  </w:r>
                </w:p>
              </w:tc>
              <w:tc>
                <w:tcPr>
                  <w:tcW w:w="659"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食用方式</w:t>
                  </w:r>
                </w:p>
              </w:tc>
              <w:tc>
                <w:tcPr>
                  <w:tcW w:w="1052"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洗净后直接食用、炖汤食用</w:t>
                  </w:r>
                </w:p>
              </w:tc>
            </w:tr>
          </w:tbl>
          <w:p>
            <w:pPr>
              <w:spacing w:line="360" w:lineRule="auto"/>
              <w:ind w:right="210" w:rightChars="100" w:firstLine="562" w:firstLineChars="200"/>
              <w:jc w:val="left"/>
              <w:rPr>
                <w:rFonts w:hint="eastAsia" w:ascii="仿宋_GB2312" w:hAnsi="仿宋_GB2312" w:eastAsia="仿宋_GB2312" w:cs="仿宋_GB2312"/>
                <w:b/>
                <w:bCs/>
                <w:sz w:val="28"/>
                <w:szCs w:val="28"/>
                <w:rtl w:val="0"/>
                <w:lang w:val="en-US" w:eastAsia="zh-CN"/>
              </w:rPr>
            </w:pPr>
            <w:r>
              <w:rPr>
                <w:rFonts w:hint="eastAsia" w:ascii="仿宋_GB2312" w:hAnsi="仿宋_GB2312" w:eastAsia="仿宋_GB2312" w:cs="仿宋_GB2312"/>
                <w:b/>
                <w:bCs/>
                <w:sz w:val="28"/>
                <w:szCs w:val="28"/>
                <w:rtl w:val="0"/>
                <w:lang w:val="en-US" w:eastAsia="zh-CN"/>
              </w:rPr>
              <w:t>4.蓝莓</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该蓝莓营养丰富，易于消化，特别是维生素E的含量高于其他水果几倍，甚至几十倍，氨基酸含量比山楂还高。蓝莓酸甜适中、脆嫩细腻、新鲜饱满、粒粒圆润，虽然自带的果粉隐藏了宝蓝色的光泽，却难掩芳华。而且该蓝莓果实小巧，肉质精致，入口有咬感而不软烂，爽口多汁，芳香弥漫。</w:t>
            </w:r>
          </w:p>
          <w:tbl>
            <w:tblPr>
              <w:tblStyle w:val="10"/>
              <w:tblW w:w="8357" w:type="dxa"/>
              <w:jc w:val="center"/>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autofit"/>
              <w:tblCellMar>
                <w:top w:w="0" w:type="dxa"/>
                <w:left w:w="0" w:type="dxa"/>
                <w:bottom w:w="0" w:type="dxa"/>
                <w:right w:w="0" w:type="dxa"/>
              </w:tblCellMar>
            </w:tblPr>
            <w:tblGrid>
              <w:gridCol w:w="1619"/>
              <w:gridCol w:w="1751"/>
              <w:gridCol w:w="1192"/>
              <w:gridCol w:w="1460"/>
              <w:gridCol w:w="1289"/>
              <w:gridCol w:w="1046"/>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rHeight w:val="847" w:hRule="atLeast"/>
                <w:jc w:val="center"/>
              </w:trPr>
              <w:tc>
                <w:tcPr>
                  <w:tcW w:w="968"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商品名称</w:t>
                  </w:r>
                </w:p>
              </w:tc>
              <w:tc>
                <w:tcPr>
                  <w:tcW w:w="1047"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蓝莓</w:t>
                  </w:r>
                </w:p>
              </w:tc>
              <w:tc>
                <w:tcPr>
                  <w:tcW w:w="713"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保质期</w:t>
                  </w:r>
                </w:p>
              </w:tc>
              <w:tc>
                <w:tcPr>
                  <w:tcW w:w="873"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7天</w:t>
                  </w:r>
                </w:p>
              </w:tc>
              <w:tc>
                <w:tcPr>
                  <w:tcW w:w="771"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产地</w:t>
                  </w:r>
                </w:p>
              </w:tc>
              <w:tc>
                <w:tcPr>
                  <w:tcW w:w="625"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秘鲁</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rHeight w:val="1236" w:hRule="atLeast"/>
                <w:jc w:val="center"/>
              </w:trPr>
              <w:tc>
                <w:tcPr>
                  <w:tcW w:w="968"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是否为有机食品</w:t>
                  </w:r>
                </w:p>
              </w:tc>
              <w:tc>
                <w:tcPr>
                  <w:tcW w:w="1047"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否</w:t>
                  </w:r>
                </w:p>
              </w:tc>
              <w:tc>
                <w:tcPr>
                  <w:tcW w:w="713"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包装方式</w:t>
                  </w:r>
                </w:p>
              </w:tc>
              <w:tc>
                <w:tcPr>
                  <w:tcW w:w="873"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包装</w:t>
                  </w:r>
                </w:p>
              </w:tc>
              <w:tc>
                <w:tcPr>
                  <w:tcW w:w="771"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套餐份量</w:t>
                  </w:r>
                </w:p>
              </w:tc>
              <w:tc>
                <w:tcPr>
                  <w:tcW w:w="625"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1人份</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rHeight w:val="1236" w:hRule="atLeast"/>
                <w:jc w:val="center"/>
              </w:trPr>
              <w:tc>
                <w:tcPr>
                  <w:tcW w:w="968"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套餐周期</w:t>
                  </w:r>
                </w:p>
              </w:tc>
              <w:tc>
                <w:tcPr>
                  <w:tcW w:w="1047"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1周</w:t>
                  </w:r>
                </w:p>
              </w:tc>
              <w:tc>
                <w:tcPr>
                  <w:tcW w:w="713"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净含量</w:t>
                  </w:r>
                </w:p>
              </w:tc>
              <w:tc>
                <w:tcPr>
                  <w:tcW w:w="873"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200g</w:t>
                  </w:r>
                </w:p>
              </w:tc>
              <w:tc>
                <w:tcPr>
                  <w:tcW w:w="771"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生鲜储存温度</w:t>
                  </w:r>
                </w:p>
              </w:tc>
              <w:tc>
                <w:tcPr>
                  <w:tcW w:w="625"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0-8℃</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rHeight w:val="1251" w:hRule="atLeast"/>
                <w:jc w:val="center"/>
              </w:trPr>
              <w:tc>
                <w:tcPr>
                  <w:tcW w:w="968"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同城服务</w:t>
                  </w:r>
                </w:p>
              </w:tc>
              <w:tc>
                <w:tcPr>
                  <w:tcW w:w="1047"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同城24小时卖家送货上门</w:t>
                  </w:r>
                </w:p>
              </w:tc>
              <w:tc>
                <w:tcPr>
                  <w:tcW w:w="713"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果径（mm）</w:t>
                  </w:r>
                </w:p>
              </w:tc>
              <w:tc>
                <w:tcPr>
                  <w:tcW w:w="873"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17（含）-21（不含）</w:t>
                  </w:r>
                </w:p>
              </w:tc>
              <w:tc>
                <w:tcPr>
                  <w:tcW w:w="771"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p>
              </w:tc>
              <w:tc>
                <w:tcPr>
                  <w:tcW w:w="625"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p>
              </w:tc>
            </w:tr>
          </w:tbl>
          <w:p>
            <w:pPr>
              <w:spacing w:line="360" w:lineRule="auto"/>
              <w:ind w:right="210" w:rightChars="100" w:firstLine="562" w:firstLineChars="200"/>
              <w:jc w:val="left"/>
              <w:rPr>
                <w:rFonts w:hint="eastAsia" w:ascii="仿宋_GB2312" w:hAnsi="仿宋_GB2312" w:eastAsia="仿宋_GB2312" w:cs="仿宋_GB2312"/>
                <w:b/>
                <w:bCs/>
                <w:sz w:val="28"/>
                <w:szCs w:val="28"/>
                <w:rtl w:val="0"/>
                <w:lang w:val="en-US" w:eastAsia="zh-CN"/>
              </w:rPr>
            </w:pPr>
            <w:r>
              <w:rPr>
                <w:rFonts w:hint="eastAsia" w:ascii="仿宋_GB2312" w:hAnsi="仿宋_GB2312" w:eastAsia="仿宋_GB2312" w:cs="仿宋_GB2312"/>
                <w:b/>
                <w:bCs/>
                <w:sz w:val="28"/>
                <w:szCs w:val="28"/>
                <w:rtl w:val="0"/>
                <w:lang w:val="en-US" w:eastAsia="zh-CN"/>
              </w:rPr>
              <w:t>5.羊角蜜</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羊角蜜瓜肉如冰糖般晶莹剔透，瓜汁似蜂蜜甘甜，青绿的表皮薄而有光泽，清香扑鼻，头茬甜瓜，瓜好甜度高。该羊角蜜都是藤上自然成熟，不催熟，不打药，细心的果农会精挑细选，现摘现发，新鲜直达。而且现在下单可享受满38元减5元的优惠。</w:t>
            </w:r>
          </w:p>
          <w:tbl>
            <w:tblPr>
              <w:tblStyle w:val="10"/>
              <w:tblW w:w="8366" w:type="dxa"/>
              <w:jc w:val="center"/>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autofit"/>
              <w:tblCellMar>
                <w:top w:w="0" w:type="dxa"/>
                <w:left w:w="0" w:type="dxa"/>
                <w:bottom w:w="0" w:type="dxa"/>
                <w:right w:w="0" w:type="dxa"/>
              </w:tblCellMar>
            </w:tblPr>
            <w:tblGrid>
              <w:gridCol w:w="1467"/>
              <w:gridCol w:w="1041"/>
              <w:gridCol w:w="1299"/>
              <w:gridCol w:w="1021"/>
              <w:gridCol w:w="1659"/>
              <w:gridCol w:w="1879"/>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876"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商品名称</w:t>
                  </w:r>
                </w:p>
              </w:tc>
              <w:tc>
                <w:tcPr>
                  <w:tcW w:w="622"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羊角蜜</w:t>
                  </w:r>
                </w:p>
              </w:tc>
              <w:tc>
                <w:tcPr>
                  <w:tcW w:w="776"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储藏方法</w:t>
                  </w:r>
                </w:p>
              </w:tc>
              <w:tc>
                <w:tcPr>
                  <w:tcW w:w="610"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冷藏</w:t>
                  </w:r>
                </w:p>
              </w:tc>
              <w:tc>
                <w:tcPr>
                  <w:tcW w:w="991"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保质期</w:t>
                  </w:r>
                </w:p>
              </w:tc>
              <w:tc>
                <w:tcPr>
                  <w:tcW w:w="1122"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7天</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876"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食品添加剂</w:t>
                  </w:r>
                </w:p>
              </w:tc>
              <w:tc>
                <w:tcPr>
                  <w:tcW w:w="622"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无</w:t>
                  </w:r>
                </w:p>
              </w:tc>
              <w:tc>
                <w:tcPr>
                  <w:tcW w:w="776"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产地</w:t>
                  </w:r>
                </w:p>
              </w:tc>
              <w:tc>
                <w:tcPr>
                  <w:tcW w:w="610"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聊城市</w:t>
                  </w:r>
                </w:p>
              </w:tc>
              <w:tc>
                <w:tcPr>
                  <w:tcW w:w="991"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包装方式</w:t>
                  </w:r>
                </w:p>
              </w:tc>
              <w:tc>
                <w:tcPr>
                  <w:tcW w:w="1122"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食用农商品</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876"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净含量</w:t>
                  </w:r>
                </w:p>
              </w:tc>
              <w:tc>
                <w:tcPr>
                  <w:tcW w:w="622"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2500g</w:t>
                  </w:r>
                </w:p>
              </w:tc>
              <w:tc>
                <w:tcPr>
                  <w:tcW w:w="776"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套餐份量</w:t>
                  </w:r>
                </w:p>
              </w:tc>
              <w:tc>
                <w:tcPr>
                  <w:tcW w:w="610"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5人份</w:t>
                  </w:r>
                </w:p>
              </w:tc>
              <w:tc>
                <w:tcPr>
                  <w:tcW w:w="991"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同城服务</w:t>
                  </w:r>
                </w:p>
              </w:tc>
              <w:tc>
                <w:tcPr>
                  <w:tcW w:w="1122" w:type="pct"/>
                  <w:tcBorders>
                    <w:top w:val="single" w:color="808080" w:sz="6" w:space="0"/>
                    <w:left w:val="single" w:color="808080" w:sz="6" w:space="0"/>
                    <w:bottom w:val="single" w:color="808080" w:sz="6" w:space="0"/>
                    <w:right w:val="single" w:color="808080"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kern w:val="0"/>
                      <w:sz w:val="24"/>
                      <w:szCs w:val="24"/>
                      <w:rtl w:val="0"/>
                      <w:lang w:val="en-US" w:eastAsia="zh-CN" w:bidi="ar-SA"/>
                    </w:rPr>
                  </w:pPr>
                  <w:r>
                    <w:rPr>
                      <w:rFonts w:hint="eastAsia" w:ascii="仿宋_GB2312" w:hAnsi="仿宋_GB2312" w:eastAsia="仿宋_GB2312" w:cs="仿宋_GB2312"/>
                      <w:kern w:val="0"/>
                      <w:sz w:val="24"/>
                      <w:szCs w:val="24"/>
                      <w:rtl w:val="0"/>
                      <w:lang w:val="en-US" w:eastAsia="zh-CN" w:bidi="ar-SA"/>
                    </w:rPr>
                    <w:t>同城24小时物流送货上门</w:t>
                  </w:r>
                </w:p>
              </w:tc>
            </w:tr>
          </w:tbl>
          <w:p>
            <w:pPr>
              <w:spacing w:line="360" w:lineRule="auto"/>
              <w:ind w:right="210" w:rightChars="100"/>
              <w:jc w:val="left"/>
              <w:rPr>
                <w:rFonts w:hint="eastAsia" w:ascii="仿宋_GB2312" w:hAnsi="仿宋_GB2312" w:eastAsia="仿宋_GB2312" w:cs="仿宋_GB2312"/>
                <w:b/>
                <w:bCs/>
                <w:sz w:val="28"/>
                <w:szCs w:val="28"/>
                <w:rtl w:val="0"/>
                <w:lang w:val="en-US" w:eastAsia="zh-CN"/>
              </w:rPr>
            </w:pPr>
            <w:r>
              <w:rPr>
                <w:rFonts w:hint="eastAsia" w:ascii="仿宋_GB2312" w:hAnsi="仿宋_GB2312" w:eastAsia="仿宋_GB2312" w:cs="仿宋_GB2312"/>
                <w:b/>
                <w:bCs/>
                <w:sz w:val="28"/>
                <w:szCs w:val="28"/>
                <w:rtl w:val="0"/>
                <w:lang w:val="en-US" w:eastAsia="zh-CN"/>
              </w:rPr>
              <w:t>网店信息：</w:t>
            </w:r>
          </w:p>
          <w:p>
            <w:pPr>
              <w:spacing w:line="360" w:lineRule="auto"/>
              <w:ind w:right="210" w:rightChars="100" w:firstLine="562" w:firstLineChars="200"/>
              <w:jc w:val="left"/>
              <w:rPr>
                <w:rFonts w:hint="eastAsia" w:ascii="仿宋_GB2312" w:hAnsi="仿宋_GB2312" w:eastAsia="仿宋_GB2312" w:cs="仿宋_GB2312"/>
                <w:b/>
                <w:bCs/>
                <w:sz w:val="28"/>
                <w:szCs w:val="28"/>
                <w:rtl w:val="0"/>
                <w:lang w:val="en-US" w:eastAsia="zh-CN"/>
              </w:rPr>
            </w:pPr>
            <w:r>
              <w:rPr>
                <w:rFonts w:hint="eastAsia" w:ascii="仿宋_GB2312" w:hAnsi="仿宋_GB2312" w:eastAsia="仿宋_GB2312" w:cs="仿宋_GB2312"/>
                <w:b/>
                <w:bCs/>
                <w:sz w:val="28"/>
                <w:szCs w:val="28"/>
                <w:rtl w:val="0"/>
                <w:lang w:val="en-US" w:eastAsia="zh-CN"/>
              </w:rPr>
              <w:t>1.关于商品</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本店生鲜商品图片都是实物拍摄，但是由于生鲜的特殊性，每一件商品都是现摘现发，因此个头大小、形状、颜色可能与拍摄图片略有差异，如有介意的买家请勿下单。</w:t>
            </w:r>
          </w:p>
          <w:p>
            <w:pPr>
              <w:spacing w:line="360" w:lineRule="auto"/>
              <w:ind w:right="210" w:rightChars="100" w:firstLine="562" w:firstLineChars="200"/>
              <w:jc w:val="left"/>
              <w:rPr>
                <w:rFonts w:hint="eastAsia" w:ascii="仿宋_GB2312" w:hAnsi="仿宋_GB2312" w:eastAsia="仿宋_GB2312" w:cs="仿宋_GB2312"/>
                <w:b/>
                <w:bCs/>
                <w:sz w:val="28"/>
                <w:szCs w:val="28"/>
                <w:rtl w:val="0"/>
                <w:lang w:val="en-US" w:eastAsia="zh-CN"/>
              </w:rPr>
            </w:pPr>
            <w:r>
              <w:rPr>
                <w:rFonts w:hint="eastAsia" w:ascii="仿宋_GB2312" w:hAnsi="仿宋_GB2312" w:eastAsia="仿宋_GB2312" w:cs="仿宋_GB2312"/>
                <w:b/>
                <w:bCs/>
                <w:sz w:val="28"/>
                <w:szCs w:val="28"/>
                <w:rtl w:val="0"/>
                <w:lang w:val="en-US" w:eastAsia="zh-CN"/>
              </w:rPr>
              <w:t>2.关于发票</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（1）凡是在本店购物均可提供正规增值税发票，享受全面的售后保障，本店默认电子发票。</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（2）发票金额：本店所有订单均按照实际付款金额开具正规发票，如使用红包、淘金币、集分宝等抵扣金额，将不开具在发票金额内，发票内容为明细，不支持修改。</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（3）电子发票具有和纸质发票相同的法律效力，可作为保修、报销的有效凭证。</w:t>
            </w:r>
          </w:p>
          <w:p>
            <w:pPr>
              <w:spacing w:line="360" w:lineRule="auto"/>
              <w:ind w:right="210" w:rightChars="100" w:firstLine="562" w:firstLineChars="200"/>
              <w:jc w:val="left"/>
              <w:rPr>
                <w:rFonts w:hint="eastAsia" w:ascii="仿宋_GB2312" w:hAnsi="仿宋_GB2312" w:eastAsia="仿宋_GB2312" w:cs="仿宋_GB2312"/>
                <w:b/>
                <w:bCs/>
                <w:sz w:val="28"/>
                <w:szCs w:val="28"/>
                <w:rtl w:val="0"/>
                <w:lang w:val="en-US" w:eastAsia="zh-CN"/>
              </w:rPr>
            </w:pPr>
            <w:r>
              <w:rPr>
                <w:rFonts w:hint="eastAsia" w:ascii="仿宋_GB2312" w:hAnsi="仿宋_GB2312" w:eastAsia="仿宋_GB2312" w:cs="仿宋_GB2312"/>
                <w:b/>
                <w:bCs/>
                <w:sz w:val="28"/>
                <w:szCs w:val="28"/>
                <w:rtl w:val="0"/>
                <w:lang w:val="en-US" w:eastAsia="zh-CN"/>
              </w:rPr>
              <w:t>3.关于快递</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（1）选择快递：本店采用中通、百世汇通等为您提供更快捷、更方便的服务，目前可实现中国大陆地区覆盖，不提供港、澳、台及海外地区订单寄送。</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为了果果更快到达您手中，快递分地区由甘肃仓、山西仓、山东仓、陕西仓、河南仓、江苏仓、湖北仓、重庆仓、江西仓、浙江仓、福建仓、广东仓、广西仓、湖南仓、四川仓、云南仓等多仓发货。</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（2）发货周期：正常情况下会在您支付订单成功后12小时内为您配货发货；如遇商品预售（预定）、节假日、大促等情况，发货日期以商品页面标注的日期或天猫规则为准。</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（3）收货地址：商品未发出之前，可以修改收货地址。</w:t>
            </w:r>
          </w:p>
          <w:p>
            <w:pPr>
              <w:spacing w:line="360" w:lineRule="auto"/>
              <w:ind w:right="210" w:rightChars="100" w:firstLine="562" w:firstLineChars="200"/>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tl w:val="0"/>
                <w:lang w:val="en-US" w:eastAsia="zh-CN"/>
              </w:rPr>
              <w:t>4.关于退换货政策</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（1）关于退货：生鲜类目不支持七天无理由退换货服务，如收到坏果，请在签收后24小时内联系客服处理，超过24小时不予以处理哦！</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（2）关于赔付：因买家地址不详、有误，电话联系不上等造成的送货延迟导致的水果腐烂变质，不予以赔偿哦！</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单个商品赔付标准=商品实付金额/总个数，实际有几个坏果，赔付几个坏果的金额。</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坏果赔付时请把坏果与快递单号放在一起拍照，一切需以图片凭证为准、不接受没有图片、逾期联系、个人主观喜好、吃完再拍照过来以不好吃、果子不好看等理由的理赔诉求。</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3）关于损耗：水果在运输途中会有水分蒸发流失，收到后重量会稍有变动，重量误差100g以内不在赔付范围哦！因买家地址太偏/快递超区/需自提不及时自提，导致派送时间过长，水果变质，不予理赔，请偏远地区的买家，慎重购买！</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（4）关于拒收：以快递慢、不新鲜、不想要等理由单方面拒收，卖家不承担责任，因个人原因保存不当放置时间过长不在赔付范围！</w:t>
            </w:r>
          </w:p>
          <w:p>
            <w:pPr>
              <w:spacing w:line="360" w:lineRule="auto"/>
              <w:ind w:right="210" w:rightChars="100"/>
              <w:jc w:val="left"/>
              <w:rPr>
                <w:rFonts w:hint="eastAsia" w:ascii="仿宋_GB2312" w:hAnsi="仿宋_GB2312" w:eastAsia="仿宋_GB2312" w:cs="仿宋_GB2312"/>
                <w:b/>
                <w:bCs/>
                <w:sz w:val="28"/>
                <w:szCs w:val="28"/>
                <w:rtl w:val="0"/>
                <w:lang w:val="en-US" w:eastAsia="zh-CN"/>
              </w:rPr>
            </w:pPr>
            <w:r>
              <w:rPr>
                <w:rFonts w:hint="eastAsia" w:ascii="仿宋_GB2312" w:hAnsi="仿宋_GB2312" w:eastAsia="仿宋_GB2312" w:cs="仿宋_GB2312"/>
                <w:b/>
                <w:bCs/>
                <w:sz w:val="28"/>
                <w:szCs w:val="28"/>
                <w:rtl w:val="0"/>
                <w:lang w:val="en-US" w:eastAsia="zh-CN"/>
              </w:rPr>
              <w:t>客户高频问题：</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1.Q：在吗？</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A：在呦，亲。有什么可以帮到您的吗？</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2.Q：什么时候能发货？</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A：亲，正常情况下会在您支付订单成功后12小时内为您配货发货；如遇商品预售（预定）、节假日、大促等情况，发货日期以商品页面标注的日期或天猫规则为准。</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3.Q：你们支持7天无理由退货吗？</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A：亲，我们是生鲜类目，不支持七天无理由退换货服务，如收到坏果，请在签收后24小时内联系客服处理，超过24小时不予以处理哦。</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4.Q：我买了不想要了，可以拒收吗？</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A：亲，以快递慢、不新鲜、不想要等理由单方面拒收，卖家不承担责任，因个人原因保存不当，放置时间过长，不在赔付范围哦。</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5.Q：为什么商品详情图片与实际商品不一样啊？</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A：亲，本店生鲜商品图片都是实物拍摄，但是由于生鲜的特殊性，每一件商品都是现摘先发，因此个头大小、形状、颜色可能与拍摄图片略有差异，如有介意的买家，请勿下单。</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6.Q：你们提供发票吗，是纸质的吗？</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A：亲，凡是在我们店购物均可提供正规增值税发票，享受全面的售后保障，本店默认电子发票哦。</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7.Q：会不会送过来已经坏了？</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A：亲，为了果果更快到达您手中，快递分地区由甘肃仓、山西仓、山东仓、陕西仓、河南仓、江苏仓、湖北仓、重庆仓、江西仓、浙江仓、福建仓、广东仓、广西仓、湖南仓、四川仓、云南仓等多仓发货，所以不会坏的。</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8.Q：买的果子分量不足是怎么回事，会有赔偿吗？</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A：亲，水果在运输途中会有水分蒸发流失，收到后重量会稍有变动，重量误差100g以内不在赔付范围哦。</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9.Q：你们的赔付标准是什么？</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A：亲，我们单个商品赔付标准=商品实付金额/总个数，实际有几个坏果，赔付几个坏果的价格。</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10.Q：如果使用了红包，那商品开票金额是多少啊？</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A：亲，本店所有订单均按照实际付款金额开具正规发票，如使用红包、淘金币、集分宝等抵扣金额，将不开具在发票金额内。</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11.Q：如果果子有质量问题，怎么申请赔付？</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A：亲，坏果赔付时，请把坏果与快递单号放在一起拍照，一切需以图片凭证为准、不接受没有图片、逾期联系、个人主观喜好、吃完再拍照过来以不好吃、果子不好看等理由的理赔诉求哦。</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12.Q：超过24小时还能申请赔付吗？</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A：亲，抱歉啊，我们规定是在签收后24小时内联系客服处理，超过24小时不予以处理哦。</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13.Q：你们提供的电子发票可以用于报销吗？</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A：亲，可以的，电子发票具有和纸质发票相同的法律效力，可作为保修、报销的有效凭证。</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14.Q：我填错地址了，果子虽然到了，但是已经坏了，你们会赔吗？</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A：亲，因买家地址不详，有误，电话联系不上等造成的送货延迟导致的水果腐烂变质，不予以赔偿哦。</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15.Q：您好，我的订单地址写错了，现在还没发货可以修改收货地址吗？</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A：亲，商品未发出之前，可以修改收货地址哦。</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16.Q：你们的龙眼产地是哪里的？</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A：亲，龙眼是泰国的哦。</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17.Q：龙眼是不是可以用于食疗？</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A：亲，是的呢，龙眼果实营养丰富，是名贵的高级滋补品，具有补益心脾、养血安神的功能哦。</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18.Q：龙眼可以同城发货吗，不能的话就算了。</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A：亲，我们的龙眼是支持同城24小时物流送货上门的哦。</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19.Q：你们樱桃是不是催熟的？</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A：亲，我们的樱桃成长过程中，不用添加剂，不用催熟剂，都是让果子自然成熟哦。</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20.Q：这樱桃能存储多长时间？</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A：亲，樱桃的保质期较短，一般为7天，请尽快食用哦。</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21.Q：你们的樱桃要怎么储存？</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A：亲，如果樱桃不急着吃的话，需要0-3℃低温保存哦。</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22.Q：现在买黄瓜有优惠吗？</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A：亲，我们这款黄瓜，现在下单可享受满20元减10元的优惠哦。</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23.Q：你们这黄瓜是哪里产的？</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A：亲，我们黄瓜的产地是潍坊哦。</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24.Q：你们这黄瓜做汤合适吗？</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A：亲，可以的，我们的黄瓜可以炖汤食用，可以洗净后直接食用。</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25.Q：你们家蓝莓一份多重？</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A：亲，一份蓝莓200g哦。</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26.Q：你们家蓝莓是哪里产的？</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A：亲，蓝莓产地是秘鲁哦。</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27.Q：你家的蓝莓是有机食品吗？</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A：亲，不是哦，但我们家的蓝莓是纯天然的绿色食品哦。</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28.Q：羊角蜜可以便宜点嘛？</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A：亲，我们家的羊角蜜现在下单可享受满38元减5元的优惠哦。</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29.Q：一份羊角蜜多重？</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A：亲，一份2500g，大约是5个人的分量哦。</w:t>
            </w:r>
          </w:p>
          <w:p>
            <w:pPr>
              <w:spacing w:line="360" w:lineRule="auto"/>
              <w:ind w:right="210" w:rightChars="100" w:firstLine="560" w:firstLineChars="200"/>
              <w:jc w:val="left"/>
              <w:rPr>
                <w:rFonts w:hint="eastAsia" w:ascii="仿宋_GB2312" w:hAnsi="仿宋_GB2312" w:eastAsia="仿宋_GB2312" w:cs="仿宋_GB2312"/>
                <w:sz w:val="28"/>
                <w:szCs w:val="28"/>
                <w:rtl w:val="0"/>
                <w:lang w:val="en-US" w:eastAsia="zh-CN"/>
              </w:rPr>
            </w:pPr>
            <w:r>
              <w:rPr>
                <w:rFonts w:hint="eastAsia" w:ascii="仿宋_GB2312" w:hAnsi="仿宋_GB2312" w:eastAsia="仿宋_GB2312" w:cs="仿宋_GB2312"/>
                <w:sz w:val="28"/>
                <w:szCs w:val="28"/>
                <w:rtl w:val="0"/>
                <w:lang w:val="en-US" w:eastAsia="zh-CN"/>
              </w:rPr>
              <w:t>30.Q：羊角蜜是同城发货吗？</w:t>
            </w:r>
          </w:p>
          <w:p>
            <w:pPr>
              <w:spacing w:line="360" w:lineRule="auto"/>
              <w:ind w:right="210" w:rightChars="100" w:firstLine="560" w:firstLineChars="200"/>
              <w:jc w:val="left"/>
              <w:rPr>
                <w:rFonts w:hint="eastAsia"/>
                <w:sz w:val="28"/>
                <w:szCs w:val="28"/>
                <w:vertAlign w:val="baseline"/>
                <w:lang w:val="en-US" w:eastAsia="zh-CN"/>
              </w:rPr>
            </w:pPr>
            <w:r>
              <w:rPr>
                <w:rFonts w:hint="eastAsia" w:ascii="仿宋_GB2312" w:hAnsi="仿宋_GB2312" w:eastAsia="仿宋_GB2312" w:cs="仿宋_GB2312"/>
                <w:sz w:val="28"/>
                <w:szCs w:val="28"/>
                <w:rtl w:val="0"/>
                <w:lang w:val="en-US" w:eastAsia="zh-CN"/>
              </w:rPr>
              <w:t>A：亲，我们的羊角蜜是支持同城24小时物流送货上门的哦。</w:t>
            </w:r>
          </w:p>
        </w:tc>
      </w:tr>
    </w:tbl>
    <w:p>
      <w:pPr>
        <w:keepNext w:val="0"/>
        <w:keepLines w:val="0"/>
        <w:pageBreakBefore w:val="0"/>
        <w:widowControl w:val="0"/>
        <w:kinsoku/>
        <w:wordWrap/>
        <w:overflowPunct/>
        <w:topLinePunct w:val="0"/>
        <w:bidi w:val="0"/>
        <w:adjustRightInd/>
        <w:snapToGrid/>
        <w:spacing w:line="360" w:lineRule="auto"/>
        <w:ind w:right="210" w:rightChars="100" w:firstLine="562" w:firstLineChars="200"/>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任务要求：</w:t>
      </w:r>
    </w:p>
    <w:p>
      <w:pPr>
        <w:pStyle w:val="2"/>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利用提供的素材，结合客户高频问题及标准回复话术，设置快捷回复，在规定时间内，利用竞赛平台提供的应答环境，准确地回复15个客户的50个问题。</w:t>
      </w:r>
    </w:p>
    <w:p>
      <w:pPr>
        <w:keepNext w:val="0"/>
        <w:keepLines w:val="0"/>
        <w:pageBreakBefore w:val="0"/>
        <w:widowControl w:val="0"/>
        <w:kinsoku/>
        <w:wordWrap/>
        <w:overflowPunct/>
        <w:topLinePunct w:val="0"/>
        <w:autoSpaceDE/>
        <w:autoSpaceDN/>
        <w:bidi w:val="0"/>
        <w:adjustRightInd/>
        <w:spacing w:line="360" w:lineRule="auto"/>
        <w:ind w:firstLine="562" w:firstLineChars="200"/>
        <w:textAlignment w:val="auto"/>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操作过程：</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1.分析网店及商品资料；</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2.归纳客户高频问题；</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3.设置标准回复话术；</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4.分析客户问题，识别客户需求；</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rtl w:val="0"/>
          <w:lang w:val="en-US" w:eastAsia="zh-CN" w:bidi="ar-SA"/>
        </w:rPr>
      </w:pPr>
      <w:r>
        <w:rPr>
          <w:rFonts w:hint="eastAsia" w:ascii="仿宋_GB2312" w:hAnsi="仿宋_GB2312" w:eastAsia="仿宋_GB2312" w:cs="仿宋_GB2312"/>
          <w:b w:val="0"/>
          <w:kern w:val="2"/>
          <w:sz w:val="28"/>
          <w:szCs w:val="28"/>
          <w:lang w:val="en-US" w:eastAsia="zh-CN" w:bidi="ar-SA"/>
        </w:rPr>
        <w:t>5.动态应答客户各类问题。</w:t>
      </w:r>
    </w:p>
    <w:p>
      <w:pPr>
        <w:pStyle w:val="3"/>
        <w:bidi w:val="0"/>
        <w:rPr>
          <w:b w:val="0"/>
          <w:bCs/>
        </w:rPr>
      </w:pPr>
      <w:r>
        <w:rPr>
          <w:rFonts w:hint="eastAsia"/>
          <w:b w:val="0"/>
          <w:bCs/>
        </w:rPr>
        <w:t>十、赛项安全</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赛项执委会采取切实有效措施保证大赛期间赛场组织与管理人员、裁判员、参赛人员的人身安全。</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bookmarkStart w:id="1" w:name="_Toc361563584"/>
      <w:r>
        <w:rPr>
          <w:rFonts w:hint="eastAsia" w:ascii="仿宋_GB2312" w:hAnsi="仿宋_GB2312" w:eastAsia="仿宋_GB2312" w:cs="仿宋_GB2312"/>
          <w:b w:val="0"/>
          <w:kern w:val="2"/>
          <w:sz w:val="28"/>
          <w:szCs w:val="28"/>
          <w:lang w:val="en-US" w:eastAsia="zh-CN" w:bidi="ar-SA"/>
        </w:rPr>
        <w:t>（一）比赛环境</w:t>
      </w:r>
      <w:bookmarkEnd w:id="1"/>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赛场的设备，应符合国家有关安全规定。承办单位赛前须按照执委会要求排除安全隐患。</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赛场周围要设立警戒线，防止无关人员进入发生意外事件。</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赛场环境中存在人员密集、车流人流交错的区域，除了设置齐全的指示标志外，须增加引导人员，并开辟备用通道。</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bookmarkStart w:id="2" w:name="_Toc361563585"/>
      <w:r>
        <w:rPr>
          <w:rFonts w:hint="eastAsia" w:ascii="仿宋_GB2312" w:hAnsi="仿宋_GB2312" w:eastAsia="仿宋_GB2312" w:cs="仿宋_GB2312"/>
          <w:b w:val="0"/>
          <w:kern w:val="2"/>
          <w:sz w:val="28"/>
          <w:szCs w:val="28"/>
          <w:lang w:val="en-US" w:eastAsia="zh-CN" w:bidi="ar-SA"/>
        </w:rPr>
        <w:t>（二）生活条件</w:t>
      </w:r>
      <w:bookmarkEnd w:id="2"/>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比赛期间，原则上由执委会统一安排参赛选手和指导教师食宿。承办单位须尊重少数民族的信仰及文化，根据国家相关的民族政策，安排好少数民族选手和教师的饮食起居。</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比赛期间安排的住宿地应具有旅游业经营许可资质。</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执委会和承办单位须保证比赛期间选手、指导教师和裁判员、工作人员的交通安全。</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bookmarkStart w:id="3" w:name="_Toc361563586"/>
      <w:r>
        <w:rPr>
          <w:rFonts w:hint="eastAsia" w:ascii="仿宋_GB2312" w:hAnsi="仿宋_GB2312" w:eastAsia="仿宋_GB2312" w:cs="仿宋_GB2312"/>
          <w:b w:val="0"/>
          <w:kern w:val="2"/>
          <w:sz w:val="28"/>
          <w:szCs w:val="28"/>
          <w:lang w:val="en-US" w:eastAsia="zh-CN" w:bidi="ar-SA"/>
        </w:rPr>
        <w:t>（三）组队责任</w:t>
      </w:r>
      <w:bookmarkEnd w:id="3"/>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1.各学校组织代表队时，须安排为参赛选手购买大赛期间的人身意外伤害保险。</w:t>
      </w:r>
    </w:p>
    <w:p>
      <w:pPr>
        <w:keepNext w:val="0"/>
        <w:keepLines w:val="0"/>
        <w:pageBreakBefore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2.各学校代表队组成后，须制定相关管理制度，并对所有选手、指导教师进行安全教育。</w:t>
      </w:r>
    </w:p>
    <w:p>
      <w:pPr>
        <w:keepNext w:val="0"/>
        <w:keepLines w:val="0"/>
        <w:pageBreakBefore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bookmarkStart w:id="4" w:name="_Toc361563587"/>
      <w:r>
        <w:rPr>
          <w:rFonts w:hint="eastAsia" w:ascii="仿宋_GB2312" w:hAnsi="仿宋_GB2312" w:eastAsia="仿宋_GB2312" w:cs="仿宋_GB2312"/>
          <w:b w:val="0"/>
          <w:kern w:val="2"/>
          <w:sz w:val="28"/>
          <w:szCs w:val="28"/>
          <w:lang w:val="en-US" w:eastAsia="zh-CN" w:bidi="ar-SA"/>
        </w:rPr>
        <w:t>（四）应急处理</w:t>
      </w:r>
      <w:bookmarkEnd w:id="4"/>
    </w:p>
    <w:p>
      <w:pPr>
        <w:pStyle w:val="2"/>
        <w:keepNext w:val="0"/>
        <w:keepLines w:val="0"/>
        <w:pageBreakBefore w:val="0"/>
        <w:numPr>
          <w:ilvl w:val="0"/>
          <w:numId w:val="0"/>
        </w:numPr>
        <w:kinsoku/>
        <w:wordWrap/>
        <w:topLinePunct w:val="0"/>
        <w:bidi w:val="0"/>
        <w:snapToGrid/>
        <w:spacing w:line="360" w:lineRule="auto"/>
        <w:ind w:firstLine="560" w:firstLineChars="200"/>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比赛期间发生意外事故，第一时间报告执委会，同时采取措施避免事态扩大。执委会应立即启动预案予以解决并报告组委会。赛项出现重大安全问题可以停赛，是否停赛由执委会决定。事后，执委会应向组委会报告详细情况。</w:t>
      </w:r>
    </w:p>
    <w:p>
      <w:pPr>
        <w:pStyle w:val="3"/>
        <w:bidi w:val="0"/>
        <w:rPr>
          <w:b w:val="0"/>
          <w:bCs/>
        </w:rPr>
      </w:pPr>
      <w:r>
        <w:rPr>
          <w:rFonts w:hint="eastAsia"/>
          <w:b w:val="0"/>
          <w:bCs/>
        </w:rPr>
        <w:t>十一、成绩评定</w:t>
      </w:r>
    </w:p>
    <w:p>
      <w:pPr>
        <w:keepNext w:val="0"/>
        <w:pageBreakBefore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（一）评分标准</w:t>
      </w:r>
    </w:p>
    <w:p>
      <w:pPr>
        <w:pStyle w:val="2"/>
        <w:numPr>
          <w:ilvl w:val="0"/>
          <w:numId w:val="0"/>
        </w:numPr>
        <w:ind w:firstLine="480" w:firstLineChars="200"/>
        <w:jc w:val="center"/>
        <w:rPr>
          <w:rFonts w:hint="eastAsia" w:ascii="仿宋_GB2312" w:hAnsi="仿宋_GB2312" w:eastAsia="仿宋_GB2312" w:cs="仿宋_GB2312"/>
          <w:b w:val="0"/>
          <w:kern w:val="2"/>
          <w:sz w:val="24"/>
          <w:szCs w:val="24"/>
          <w:lang w:val="en-US" w:eastAsia="zh-CN" w:bidi="ar-SA"/>
        </w:rPr>
      </w:pPr>
      <w:r>
        <w:rPr>
          <w:rFonts w:hint="eastAsia" w:ascii="黑体" w:hAnsi="黑体" w:eastAsia="黑体" w:cs="黑体"/>
          <w:b w:val="0"/>
          <w:kern w:val="2"/>
          <w:sz w:val="24"/>
          <w:szCs w:val="24"/>
          <w:lang w:val="en-US" w:eastAsia="zh-CN" w:bidi="ar-SA"/>
        </w:rPr>
        <w:t>表11-1 评分标准</w:t>
      </w:r>
    </w:p>
    <w:tbl>
      <w:tblPr>
        <w:tblStyle w:val="10"/>
        <w:tblW w:w="90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2"/>
        <w:gridCol w:w="1974"/>
        <w:gridCol w:w="1276"/>
        <w:gridCol w:w="3017"/>
        <w:gridCol w:w="850"/>
        <w:gridCol w:w="8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1" w:hRule="atLeast"/>
          <w:jc w:val="center"/>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b/>
                <w:bCs/>
                <w:sz w:val="24"/>
                <w:szCs w:val="24"/>
              </w:rPr>
            </w:pPr>
            <w:bookmarkStart w:id="5" w:name="_Hlk66631887"/>
            <w:r>
              <w:rPr>
                <w:rFonts w:hint="eastAsia" w:ascii="仿宋_GB2312" w:hAnsi="仿宋_GB2312" w:eastAsia="仿宋_GB2312" w:cs="仿宋_GB2312"/>
                <w:b/>
                <w:bCs/>
                <w:sz w:val="24"/>
                <w:szCs w:val="24"/>
              </w:rPr>
              <w:t>模块</w:t>
            </w:r>
          </w:p>
        </w:tc>
        <w:tc>
          <w:tcPr>
            <w:tcW w:w="19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知识点/技能点</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评分内容</w:t>
            </w:r>
          </w:p>
        </w:tc>
        <w:tc>
          <w:tcPr>
            <w:tcW w:w="30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评分细则</w:t>
            </w:r>
          </w:p>
        </w:tc>
        <w:tc>
          <w:tcPr>
            <w:tcW w:w="85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分值</w:t>
            </w:r>
          </w:p>
        </w:tc>
        <w:tc>
          <w:tcPr>
            <w:tcW w:w="807"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评分方式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1152"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b/>
                <w:bCs/>
                <w:sz w:val="24"/>
                <w:szCs w:val="24"/>
              </w:rPr>
              <w:t>网店开设装修</w:t>
            </w:r>
          </w:p>
        </w:tc>
        <w:tc>
          <w:tcPr>
            <w:tcW w:w="1974"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知识点：</w:t>
            </w:r>
          </w:p>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1.网店规划方法</w:t>
            </w:r>
          </w:p>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2.网店注册流程</w:t>
            </w:r>
          </w:p>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3.Photoshop等图像处理软件的使用方法</w:t>
            </w:r>
          </w:p>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4.首页布局原则</w:t>
            </w:r>
          </w:p>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5.店招设计方法</w:t>
            </w:r>
          </w:p>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6.轮播图布局方式</w:t>
            </w:r>
          </w:p>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7.轮播图设计要点</w:t>
            </w:r>
          </w:p>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8.商品主图设计原则</w:t>
            </w:r>
          </w:p>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9.商品卖点提炼方法</w:t>
            </w:r>
          </w:p>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10.页面文案设计原则</w:t>
            </w:r>
          </w:p>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11.商品主图视频内容策划方法</w:t>
            </w:r>
          </w:p>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12.商品主图视频制作方法</w:t>
            </w:r>
          </w:p>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13.商品详情描述设计逻辑和要点</w:t>
            </w:r>
          </w:p>
          <w:p>
            <w:pPr>
              <w:pStyle w:val="9"/>
              <w:keepNext w:val="0"/>
              <w:keepLines w:val="0"/>
              <w:pageBreakBefore w:val="0"/>
              <w:kinsoku/>
              <w:wordWrap/>
              <w:topLinePunct w:val="0"/>
              <w:bidi w:val="0"/>
              <w:snapToGrid/>
              <w:spacing w:after="0" w:line="360" w:lineRule="auto"/>
              <w:ind w:left="0" w:leftChars="0"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14.移动端网店首页设计原则与逻辑</w:t>
            </w:r>
          </w:p>
          <w:p>
            <w:pPr>
              <w:pStyle w:val="9"/>
              <w:keepNext w:val="0"/>
              <w:keepLines w:val="0"/>
              <w:pageBreakBefore w:val="0"/>
              <w:kinsoku/>
              <w:wordWrap/>
              <w:topLinePunct w:val="0"/>
              <w:bidi w:val="0"/>
              <w:snapToGrid/>
              <w:spacing w:after="0" w:line="360" w:lineRule="auto"/>
              <w:ind w:left="0" w:leftChars="0" w:firstLine="0" w:firstLineChars="0"/>
              <w:jc w:val="left"/>
              <w:rPr>
                <w:rFonts w:ascii="仿宋_GB2312" w:hAnsi="仿宋_GB2312" w:eastAsia="仿宋_GB2312" w:cs="仿宋_GB2312"/>
                <w:sz w:val="24"/>
                <w:szCs w:val="24"/>
              </w:rPr>
            </w:pPr>
            <w:r>
              <w:rPr>
                <w:rFonts w:hint="eastAsia" w:ascii="仿宋_GB2312" w:hAnsi="仿宋_GB2312" w:eastAsia="仿宋_GB2312" w:cs="仿宋_GB2312"/>
                <w:b/>
                <w:bCs/>
                <w:sz w:val="24"/>
                <w:szCs w:val="24"/>
              </w:rPr>
              <w:t>技能点：</w:t>
            </w:r>
          </w:p>
          <w:p>
            <w:pPr>
              <w:pStyle w:val="9"/>
              <w:keepNext w:val="0"/>
              <w:keepLines w:val="0"/>
              <w:pageBreakBefore w:val="0"/>
              <w:kinsoku/>
              <w:wordWrap/>
              <w:topLinePunct w:val="0"/>
              <w:bidi w:val="0"/>
              <w:snapToGrid/>
              <w:spacing w:after="0" w:line="360" w:lineRule="auto"/>
              <w:ind w:left="0" w:leftChars="0" w:firstLine="0" w:firstLineChars="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1.网店整体规划</w:t>
            </w:r>
          </w:p>
          <w:p>
            <w:pPr>
              <w:pStyle w:val="9"/>
              <w:keepNext w:val="0"/>
              <w:keepLines w:val="0"/>
              <w:pageBreakBefore w:val="0"/>
              <w:kinsoku/>
              <w:wordWrap/>
              <w:topLinePunct w:val="0"/>
              <w:bidi w:val="0"/>
              <w:snapToGrid/>
              <w:spacing w:after="0" w:line="360" w:lineRule="auto"/>
              <w:ind w:left="0" w:leftChars="0" w:firstLine="0" w:firstLineChars="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2.网店端首页布局设计</w:t>
            </w:r>
          </w:p>
          <w:p>
            <w:pPr>
              <w:pStyle w:val="9"/>
              <w:keepNext w:val="0"/>
              <w:keepLines w:val="0"/>
              <w:pageBreakBefore w:val="0"/>
              <w:kinsoku/>
              <w:wordWrap/>
              <w:topLinePunct w:val="0"/>
              <w:bidi w:val="0"/>
              <w:snapToGrid/>
              <w:spacing w:after="0" w:line="360" w:lineRule="auto"/>
              <w:ind w:left="0" w:leftChars="0" w:firstLine="0" w:firstLineChars="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3.店招设计与制作</w:t>
            </w:r>
          </w:p>
          <w:p>
            <w:pPr>
              <w:pStyle w:val="9"/>
              <w:keepNext w:val="0"/>
              <w:keepLines w:val="0"/>
              <w:pageBreakBefore w:val="0"/>
              <w:kinsoku/>
              <w:wordWrap/>
              <w:topLinePunct w:val="0"/>
              <w:bidi w:val="0"/>
              <w:snapToGrid/>
              <w:spacing w:after="0" w:line="360" w:lineRule="auto"/>
              <w:ind w:left="0" w:leftChars="0" w:firstLine="0" w:firstLineChars="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4.轮播图设计与制作</w:t>
            </w:r>
          </w:p>
          <w:p>
            <w:pPr>
              <w:pStyle w:val="9"/>
              <w:keepNext w:val="0"/>
              <w:keepLines w:val="0"/>
              <w:pageBreakBefore w:val="0"/>
              <w:kinsoku/>
              <w:wordWrap/>
              <w:topLinePunct w:val="0"/>
              <w:bidi w:val="0"/>
              <w:snapToGrid/>
              <w:spacing w:after="0" w:line="360" w:lineRule="auto"/>
              <w:ind w:left="0" w:leftChars="0" w:firstLine="0" w:firstLineChars="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5.商品卖点提炼</w:t>
            </w:r>
          </w:p>
          <w:p>
            <w:pPr>
              <w:pStyle w:val="9"/>
              <w:keepNext w:val="0"/>
              <w:keepLines w:val="0"/>
              <w:pageBreakBefore w:val="0"/>
              <w:kinsoku/>
              <w:wordWrap/>
              <w:topLinePunct w:val="0"/>
              <w:bidi w:val="0"/>
              <w:snapToGrid/>
              <w:spacing w:after="0" w:line="360" w:lineRule="auto"/>
              <w:ind w:left="0" w:leftChars="0" w:firstLine="0" w:firstLineChars="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6.页面文案设计</w:t>
            </w:r>
          </w:p>
          <w:p>
            <w:pPr>
              <w:pStyle w:val="9"/>
              <w:keepNext w:val="0"/>
              <w:keepLines w:val="0"/>
              <w:pageBreakBefore w:val="0"/>
              <w:kinsoku/>
              <w:wordWrap/>
              <w:topLinePunct w:val="0"/>
              <w:bidi w:val="0"/>
              <w:snapToGrid/>
              <w:spacing w:after="0" w:line="360" w:lineRule="auto"/>
              <w:ind w:left="0" w:leftChars="0" w:firstLine="0" w:firstLineChars="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7.商品详情描述设计与制作</w:t>
            </w:r>
          </w:p>
          <w:p>
            <w:pPr>
              <w:pStyle w:val="9"/>
              <w:keepNext w:val="0"/>
              <w:keepLines w:val="0"/>
              <w:pageBreakBefore w:val="0"/>
              <w:kinsoku/>
              <w:wordWrap/>
              <w:topLinePunct w:val="0"/>
              <w:bidi w:val="0"/>
              <w:snapToGrid/>
              <w:spacing w:after="0" w:line="360" w:lineRule="auto"/>
              <w:ind w:left="0" w:leftChars="0" w:firstLine="0" w:firstLineChars="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8.商品主图设计与制作</w:t>
            </w:r>
          </w:p>
          <w:p>
            <w:pPr>
              <w:pStyle w:val="9"/>
              <w:keepNext w:val="0"/>
              <w:keepLines w:val="0"/>
              <w:pageBreakBefore w:val="0"/>
              <w:kinsoku/>
              <w:wordWrap/>
              <w:topLinePunct w:val="0"/>
              <w:bidi w:val="0"/>
              <w:snapToGrid/>
              <w:spacing w:after="0" w:line="360" w:lineRule="auto"/>
              <w:ind w:left="0" w:leftChars="0" w:firstLine="0" w:firstLineChars="0"/>
              <w:jc w:val="left"/>
              <w:rPr>
                <w:sz w:val="24"/>
                <w:szCs w:val="24"/>
              </w:rPr>
            </w:pPr>
            <w:r>
              <w:rPr>
                <w:rFonts w:hint="eastAsia" w:ascii="仿宋_GB2312" w:hAnsi="仿宋_GB2312" w:eastAsia="仿宋_GB2312" w:cs="仿宋_GB2312"/>
                <w:sz w:val="24"/>
                <w:szCs w:val="24"/>
              </w:rPr>
              <w:t>9.商品主图视频设计与制作</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b/>
                <w:bCs/>
                <w:sz w:val="24"/>
                <w:szCs w:val="24"/>
              </w:rPr>
            </w:pPr>
            <w:r>
              <w:rPr>
                <w:rFonts w:hint="eastAsia" w:ascii="仿宋_GB2312" w:hAnsi="仿宋_GB2312" w:eastAsia="仿宋_GB2312" w:cs="仿宋_GB2312"/>
                <w:sz w:val="24"/>
                <w:szCs w:val="24"/>
              </w:rPr>
              <w:t>总则</w:t>
            </w:r>
          </w:p>
        </w:tc>
        <w:tc>
          <w:tcPr>
            <w:tcW w:w="46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1.在所有需要以图片展示的得分项目中，如果存在图片变形、模糊失真等情况，则该项得分减半。</w:t>
            </w:r>
          </w:p>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2.在对图片数量有明确要求的得分项目中，如果出现图片数量不足，则该项不得分。</w:t>
            </w:r>
          </w:p>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3.如果在作品中任何位置显示参赛院校或者参赛选手信息，则网店开设装修记零分。</w:t>
            </w:r>
          </w:p>
          <w:p>
            <w:pPr>
              <w:keepNext w:val="0"/>
              <w:keepLines w:val="0"/>
              <w:pageBreakBefore w:val="0"/>
              <w:kinsoku/>
              <w:wordWrap/>
              <w:topLinePunct w:val="0"/>
              <w:bidi w:val="0"/>
              <w:snapToGrid/>
              <w:spacing w:line="360" w:lineRule="auto"/>
              <w:rPr>
                <w:rFonts w:ascii="仿宋_GB2312" w:hAnsi="仿宋_GB2312" w:eastAsia="仿宋_GB2312" w:cs="仿宋_GB2312"/>
                <w:b/>
                <w:bCs/>
                <w:sz w:val="24"/>
                <w:szCs w:val="24"/>
              </w:rPr>
            </w:pPr>
            <w:r>
              <w:rPr>
                <w:rFonts w:hint="eastAsia" w:ascii="仿宋_GB2312" w:hAnsi="仿宋_GB2312" w:eastAsia="仿宋_GB2312" w:cs="仿宋_GB2312"/>
                <w:sz w:val="24"/>
                <w:szCs w:val="24"/>
              </w:rPr>
              <w:t>4.如果在作品中出现不文明因素、意识形态</w:t>
            </w:r>
            <w:r>
              <w:rPr>
                <w:rFonts w:hint="eastAsia" w:ascii="仿宋_GB2312" w:hAnsi="仿宋_GB2312" w:eastAsia="仿宋_GB2312" w:cs="仿宋_GB2312"/>
                <w:sz w:val="24"/>
                <w:szCs w:val="24"/>
                <w:lang w:val="en-US" w:eastAsia="zh-CN"/>
              </w:rPr>
              <w:t>问题</w:t>
            </w:r>
            <w:r>
              <w:rPr>
                <w:rFonts w:hint="eastAsia" w:ascii="仿宋_GB2312" w:hAnsi="仿宋_GB2312" w:eastAsia="仿宋_GB2312" w:cs="仿宋_GB2312"/>
                <w:sz w:val="24"/>
                <w:szCs w:val="24"/>
              </w:rPr>
              <w:t>等情况，则网店开设装修记零分。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152"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974"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276" w:type="dxa"/>
            <w:tcBorders>
              <w:top w:val="single" w:color="000000" w:sz="4" w:space="0"/>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网店规划与注册</w:t>
            </w:r>
          </w:p>
        </w:tc>
        <w:tc>
          <w:tcPr>
            <w:tcW w:w="30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网店注册资料提交齐全，注册信息填写完整且准确</w:t>
            </w:r>
          </w:p>
        </w:tc>
        <w:tc>
          <w:tcPr>
            <w:tcW w:w="850" w:type="dxa"/>
            <w:tcBorders>
              <w:top w:val="single" w:color="000000" w:sz="4" w:space="0"/>
              <w:left w:val="single" w:color="000000" w:sz="4" w:space="0"/>
              <w:bottom w:val="single" w:color="auto" w:sz="4" w:space="0"/>
              <w:right w:val="single" w:color="auto"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分</w:t>
            </w:r>
          </w:p>
        </w:tc>
        <w:tc>
          <w:tcPr>
            <w:tcW w:w="807" w:type="dxa"/>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机考评分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1152"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974"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276"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网店首页设计与制作</w:t>
            </w:r>
          </w:p>
        </w:tc>
        <w:tc>
          <w:tcPr>
            <w:tcW w:w="3017" w:type="dxa"/>
            <w:tcBorders>
              <w:top w:val="single" w:color="000000" w:sz="4" w:space="0"/>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店招：店招布局合理，有明确的展示重</w:t>
            </w:r>
            <w:r>
              <w:rPr>
                <w:rFonts w:hint="eastAsia" w:ascii="仿宋_GB2312" w:hAnsi="仿宋_GB2312" w:eastAsia="仿宋_GB2312" w:cs="仿宋_GB2312"/>
                <w:sz w:val="24"/>
                <w:szCs w:val="24"/>
                <w:lang w:val="en-US" w:eastAsia="zh-CN"/>
              </w:rPr>
              <w:t>点</w:t>
            </w:r>
          </w:p>
        </w:tc>
        <w:tc>
          <w:tcPr>
            <w:tcW w:w="850" w:type="dxa"/>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1.5</w:t>
            </w:r>
            <w:r>
              <w:rPr>
                <w:rFonts w:hint="eastAsia" w:ascii="仿宋_GB2312" w:hAnsi="仿宋_GB2312" w:eastAsia="仿宋_GB2312" w:cs="仿宋_GB2312"/>
                <w:sz w:val="24"/>
                <w:szCs w:val="24"/>
              </w:rPr>
              <w:t>分</w:t>
            </w:r>
          </w:p>
        </w:tc>
        <w:tc>
          <w:tcPr>
            <w:tcW w:w="807" w:type="dxa"/>
            <w:vMerge w:val="restart"/>
            <w:tcBorders>
              <w:top w:val="single" w:color="auto" w:sz="4" w:space="0"/>
              <w:left w:val="single" w:color="auto"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r>
              <w:rPr>
                <w:rFonts w:ascii="仿宋_GB2312" w:hAnsi="仿宋_GB2312" w:eastAsia="仿宋_GB2312" w:cs="仿宋_GB2312"/>
                <w:sz w:val="24"/>
                <w:szCs w:val="24"/>
              </w:rPr>
              <w:t>结果评分</w:t>
            </w:r>
          </w:p>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7" w:hRule="atLeast"/>
          <w:jc w:val="center"/>
        </w:trPr>
        <w:tc>
          <w:tcPr>
            <w:tcW w:w="1152"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974"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276" w:type="dxa"/>
            <w:vMerge w:val="continue"/>
            <w:tcBorders>
              <w:top w:val="single" w:color="000000" w:sz="4" w:space="0"/>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p>
        </w:tc>
        <w:tc>
          <w:tcPr>
            <w:tcW w:w="3017" w:type="dxa"/>
            <w:tcBorders>
              <w:top w:val="single" w:color="000000" w:sz="4" w:space="0"/>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轮播图</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轮播图</w:t>
            </w:r>
            <w:r>
              <w:rPr>
                <w:rFonts w:hint="eastAsia" w:ascii="仿宋_GB2312" w:hAnsi="仿宋_GB2312" w:eastAsia="仿宋_GB2312" w:cs="仿宋_GB2312"/>
                <w:sz w:val="24"/>
                <w:szCs w:val="24"/>
                <w:lang w:val="en-US" w:eastAsia="zh-CN"/>
              </w:rPr>
              <w:t>与网店商品</w:t>
            </w:r>
            <w:r>
              <w:rPr>
                <w:rFonts w:hint="eastAsia" w:ascii="仿宋_GB2312" w:hAnsi="仿宋_GB2312" w:eastAsia="仿宋_GB2312" w:cs="仿宋_GB2312"/>
                <w:sz w:val="24"/>
                <w:szCs w:val="24"/>
              </w:rPr>
              <w:t>相关</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轮播图构图合理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轮播图设计美观</w:t>
            </w:r>
          </w:p>
        </w:tc>
        <w:tc>
          <w:tcPr>
            <w:tcW w:w="850" w:type="dxa"/>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分</w:t>
            </w:r>
          </w:p>
        </w:tc>
        <w:tc>
          <w:tcPr>
            <w:tcW w:w="807" w:type="dxa"/>
            <w:vMerge w:val="continue"/>
            <w:tcBorders>
              <w:left w:val="single" w:color="auto"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1152"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974"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276"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p>
        </w:tc>
        <w:tc>
          <w:tcPr>
            <w:tcW w:w="30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网店首页布局</w:t>
            </w:r>
            <w:r>
              <w:rPr>
                <w:rFonts w:hint="eastAsia" w:ascii="仿宋_GB2312" w:hAnsi="仿宋_GB2312" w:eastAsia="仿宋_GB2312" w:cs="仿宋_GB2312"/>
                <w:sz w:val="24"/>
                <w:szCs w:val="24"/>
                <w:lang w:val="en-US" w:eastAsia="zh-CN"/>
              </w:rPr>
              <w:t>合理</w:t>
            </w:r>
          </w:p>
        </w:tc>
        <w:tc>
          <w:tcPr>
            <w:tcW w:w="850" w:type="dxa"/>
            <w:tcBorders>
              <w:top w:val="single" w:color="auto" w:sz="4" w:space="0"/>
              <w:left w:val="single" w:color="000000" w:sz="4" w:space="0"/>
              <w:right w:val="single" w:color="auto"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1.5</w:t>
            </w:r>
            <w:r>
              <w:rPr>
                <w:rFonts w:hint="eastAsia" w:ascii="仿宋_GB2312" w:hAnsi="仿宋_GB2312" w:eastAsia="仿宋_GB2312" w:cs="仿宋_GB2312"/>
                <w:sz w:val="24"/>
                <w:szCs w:val="24"/>
              </w:rPr>
              <w:t>分</w:t>
            </w:r>
          </w:p>
        </w:tc>
        <w:tc>
          <w:tcPr>
            <w:tcW w:w="807" w:type="dxa"/>
            <w:vMerge w:val="continue"/>
            <w:tcBorders>
              <w:left w:val="single" w:color="auto"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8" w:hRule="atLeast"/>
          <w:jc w:val="center"/>
        </w:trPr>
        <w:tc>
          <w:tcPr>
            <w:tcW w:w="1152"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974"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276" w:type="dxa"/>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商品主图视频设计与制作</w:t>
            </w:r>
          </w:p>
        </w:tc>
        <w:tc>
          <w:tcPr>
            <w:tcW w:w="3017" w:type="dxa"/>
            <w:tcBorders>
              <w:top w:val="single" w:color="000000" w:sz="4" w:space="0"/>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商品主图视频内容具有创意性、视觉传达效果良好；视频剪辑规范且完整</w:t>
            </w:r>
          </w:p>
        </w:tc>
        <w:tc>
          <w:tcPr>
            <w:tcW w:w="850" w:type="dxa"/>
            <w:tcBorders>
              <w:top w:val="single" w:color="auto" w:sz="4" w:space="0"/>
              <w:left w:val="single" w:color="000000" w:sz="4" w:space="0"/>
              <w:right w:val="single" w:color="auto"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分</w:t>
            </w:r>
          </w:p>
        </w:tc>
        <w:tc>
          <w:tcPr>
            <w:tcW w:w="807" w:type="dxa"/>
            <w:tcBorders>
              <w:top w:val="single" w:color="auto" w:sz="4" w:space="0"/>
              <w:left w:val="single" w:color="auto"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r>
              <w:rPr>
                <w:rFonts w:ascii="仿宋_GB2312" w:hAnsi="仿宋_GB2312" w:eastAsia="仿宋_GB2312" w:cs="仿宋_GB2312"/>
                <w:sz w:val="24"/>
                <w:szCs w:val="24"/>
              </w:rPr>
              <w:t>结果评分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jc w:val="center"/>
        </w:trPr>
        <w:tc>
          <w:tcPr>
            <w:tcW w:w="1152"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974"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276"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商品详情页设计与制作</w:t>
            </w:r>
          </w:p>
        </w:tc>
        <w:tc>
          <w:tcPr>
            <w:tcW w:w="30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商品信息设置准确</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完整</w:t>
            </w:r>
          </w:p>
        </w:tc>
        <w:tc>
          <w:tcPr>
            <w:tcW w:w="850" w:type="dxa"/>
            <w:tcBorders>
              <w:left w:val="single" w:color="000000" w:sz="4" w:space="0"/>
              <w:bottom w:val="single" w:color="auto" w:sz="4" w:space="0"/>
              <w:right w:val="single" w:color="auto"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1分</w:t>
            </w:r>
          </w:p>
        </w:tc>
        <w:tc>
          <w:tcPr>
            <w:tcW w:w="807" w:type="dxa"/>
            <w:tcBorders>
              <w:left w:val="single" w:color="auto" w:sz="4" w:space="0"/>
              <w:bottom w:val="single" w:color="auto"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机考评分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1152"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974"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276"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30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商品卖点提炼准确</w:t>
            </w:r>
          </w:p>
        </w:tc>
        <w:tc>
          <w:tcPr>
            <w:tcW w:w="850" w:type="dxa"/>
            <w:tcBorders>
              <w:top w:val="single" w:color="auto" w:sz="4" w:space="0"/>
              <w:left w:val="single" w:color="000000" w:sz="4" w:space="0"/>
              <w:right w:val="single" w:color="auto"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分</w:t>
            </w:r>
          </w:p>
        </w:tc>
        <w:tc>
          <w:tcPr>
            <w:tcW w:w="807" w:type="dxa"/>
            <w:vMerge w:val="restart"/>
            <w:tcBorders>
              <w:top w:val="single" w:color="auto" w:sz="4" w:space="0"/>
              <w:left w:val="single" w:color="auto"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r>
              <w:rPr>
                <w:rFonts w:ascii="仿宋_GB2312" w:hAnsi="仿宋_GB2312" w:eastAsia="仿宋_GB2312" w:cs="仿宋_GB2312"/>
                <w:sz w:val="24"/>
                <w:szCs w:val="24"/>
              </w:rPr>
              <w:t>结果评分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152"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974"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276"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30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商品主图</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图文排版美观</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商品展示合理</w:t>
            </w:r>
          </w:p>
        </w:tc>
        <w:tc>
          <w:tcPr>
            <w:tcW w:w="850" w:type="dxa"/>
            <w:tcBorders>
              <w:top w:val="single" w:color="auto" w:sz="4" w:space="0"/>
              <w:left w:val="single" w:color="000000" w:sz="4" w:space="0"/>
              <w:right w:val="single" w:color="auto"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分</w:t>
            </w:r>
          </w:p>
        </w:tc>
        <w:tc>
          <w:tcPr>
            <w:tcW w:w="807" w:type="dxa"/>
            <w:vMerge w:val="continue"/>
            <w:tcBorders>
              <w:left w:val="single" w:color="auto"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152"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974"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276"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30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商品详情页布局</w:t>
            </w:r>
            <w:r>
              <w:rPr>
                <w:rFonts w:hint="eastAsia" w:ascii="仿宋_GB2312" w:hAnsi="仿宋_GB2312" w:eastAsia="仿宋_GB2312" w:cs="仿宋_GB2312"/>
                <w:sz w:val="24"/>
                <w:szCs w:val="24"/>
                <w:lang w:val="en-US" w:eastAsia="zh-CN"/>
              </w:rPr>
              <w:t>合理</w:t>
            </w:r>
          </w:p>
        </w:tc>
        <w:tc>
          <w:tcPr>
            <w:tcW w:w="850" w:type="dxa"/>
            <w:tcBorders>
              <w:top w:val="single" w:color="auto" w:sz="4" w:space="0"/>
              <w:left w:val="single" w:color="000000" w:sz="4" w:space="0"/>
              <w:right w:val="single" w:color="auto" w:sz="4" w:space="0"/>
            </w:tcBorders>
            <w:vAlign w:val="center"/>
          </w:tcPr>
          <w:p>
            <w:pPr>
              <w:keepNext w:val="0"/>
              <w:keepLines w:val="0"/>
              <w:pageBreakBefore w:val="0"/>
              <w:kinsoku/>
              <w:wordWrap/>
              <w:topLinePunct w:val="0"/>
              <w:bidi w:val="0"/>
              <w:snapToGrid/>
              <w:spacing w:line="360" w:lineRule="auto"/>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2分</w:t>
            </w:r>
          </w:p>
        </w:tc>
        <w:tc>
          <w:tcPr>
            <w:tcW w:w="807" w:type="dxa"/>
            <w:vMerge w:val="continue"/>
            <w:tcBorders>
              <w:left w:val="single" w:color="auto"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152"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974"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276"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30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详情</w:t>
            </w:r>
            <w:r>
              <w:rPr>
                <w:rFonts w:hint="eastAsia" w:ascii="仿宋_GB2312" w:hAnsi="仿宋_GB2312" w:eastAsia="仿宋_GB2312" w:cs="仿宋_GB2312"/>
                <w:sz w:val="24"/>
                <w:szCs w:val="24"/>
                <w:lang w:val="en-US" w:eastAsia="zh-CN"/>
              </w:rPr>
              <w:t>描述</w:t>
            </w:r>
            <w:r>
              <w:rPr>
                <w:rFonts w:hint="eastAsia" w:ascii="仿宋_GB2312" w:hAnsi="仿宋_GB2312" w:eastAsia="仿宋_GB2312" w:cs="仿宋_GB2312"/>
                <w:sz w:val="24"/>
                <w:szCs w:val="24"/>
              </w:rPr>
              <w:t>页内容全面、合理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详情页整体搭配合理</w:t>
            </w:r>
          </w:p>
        </w:tc>
        <w:tc>
          <w:tcPr>
            <w:tcW w:w="850" w:type="dxa"/>
            <w:tcBorders>
              <w:top w:val="single" w:color="auto" w:sz="4" w:space="0"/>
              <w:left w:val="single" w:color="000000" w:sz="4" w:space="0"/>
              <w:right w:val="single" w:color="auto"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分</w:t>
            </w:r>
          </w:p>
        </w:tc>
        <w:tc>
          <w:tcPr>
            <w:tcW w:w="807" w:type="dxa"/>
            <w:vMerge w:val="continue"/>
            <w:tcBorders>
              <w:left w:val="single" w:color="auto"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64" w:hRule="atLeast"/>
          <w:jc w:val="center"/>
        </w:trPr>
        <w:tc>
          <w:tcPr>
            <w:tcW w:w="1152"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974"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276"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301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850" w:type="dxa"/>
            <w:tcBorders>
              <w:top w:val="single" w:color="auto" w:sz="4" w:space="0"/>
              <w:left w:val="single" w:color="000000" w:sz="4" w:space="0"/>
              <w:right w:val="single" w:color="auto"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807" w:type="dxa"/>
            <w:vMerge w:val="continue"/>
            <w:tcBorders>
              <w:left w:val="single" w:color="auto"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8" w:hRule="atLeast"/>
          <w:jc w:val="center"/>
        </w:trPr>
        <w:tc>
          <w:tcPr>
            <w:tcW w:w="1152" w:type="dxa"/>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b/>
                <w:bCs/>
                <w:sz w:val="24"/>
                <w:szCs w:val="24"/>
              </w:rPr>
              <w:t>网店运营推广</w:t>
            </w:r>
          </w:p>
        </w:tc>
        <w:tc>
          <w:tcPr>
            <w:tcW w:w="1974" w:type="dxa"/>
            <w:tcBorders>
              <w:left w:val="single" w:color="000000" w:sz="4" w:space="0"/>
              <w:right w:val="single" w:color="000000" w:sz="4" w:space="0"/>
            </w:tcBorders>
            <w:vAlign w:val="center"/>
          </w:tcPr>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知识点：</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1.市场分析原则与方法</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2.目标客户分析指标</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3.网店运营推广策略制定流程</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4.网店运营推广搜索排名规则</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5.网店运营推广扣费规则</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6.网店运营推广展位竞价方法</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7.商品标题优化方法</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8.网店运营推广效果分析指标</w:t>
            </w:r>
          </w:p>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9.网店推广工具使用方法</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技能点：</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1.市场数据</w:t>
            </w:r>
            <w:r>
              <w:rPr>
                <w:rFonts w:ascii="仿宋_GB2312" w:hAnsi="仿宋_GB2312" w:eastAsia="仿宋_GB2312" w:cs="仿宋_GB2312"/>
                <w:sz w:val="24"/>
                <w:szCs w:val="24"/>
              </w:rPr>
              <w:t>分析</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ascii="仿宋_GB2312" w:hAnsi="仿宋_GB2312" w:eastAsia="仿宋_GB2312" w:cs="仿宋_GB2312"/>
                <w:sz w:val="24"/>
                <w:szCs w:val="24"/>
              </w:rPr>
              <w:t>.网店运营推广</w:t>
            </w:r>
            <w:r>
              <w:rPr>
                <w:rFonts w:hint="eastAsia" w:ascii="仿宋_GB2312" w:hAnsi="仿宋_GB2312" w:eastAsia="仿宋_GB2312" w:cs="仿宋_GB2312"/>
                <w:sz w:val="24"/>
                <w:szCs w:val="24"/>
              </w:rPr>
              <w:t>策略</w:t>
            </w:r>
            <w:r>
              <w:rPr>
                <w:rFonts w:ascii="仿宋_GB2312" w:hAnsi="仿宋_GB2312" w:eastAsia="仿宋_GB2312" w:cs="仿宋_GB2312"/>
                <w:sz w:val="24"/>
                <w:szCs w:val="24"/>
              </w:rPr>
              <w:t>制定</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ascii="仿宋_GB2312" w:hAnsi="仿宋_GB2312" w:eastAsia="仿宋_GB2312" w:cs="仿宋_GB2312"/>
                <w:sz w:val="24"/>
                <w:szCs w:val="24"/>
              </w:rPr>
              <w:t>.搜索引擎推广</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ascii="仿宋_GB2312" w:hAnsi="仿宋_GB2312" w:eastAsia="仿宋_GB2312" w:cs="仿宋_GB2312"/>
                <w:sz w:val="24"/>
                <w:szCs w:val="24"/>
              </w:rPr>
              <w:t>.推荐引擎推广</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搜索</w:t>
            </w:r>
            <w:r>
              <w:rPr>
                <w:rFonts w:ascii="仿宋_GB2312" w:hAnsi="仿宋_GB2312" w:eastAsia="仿宋_GB2312" w:cs="仿宋_GB2312"/>
                <w:sz w:val="24"/>
                <w:szCs w:val="24"/>
              </w:rPr>
              <w:t>引擎优化</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6.网店运营推广数据分析</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b/>
                <w:bCs/>
                <w:sz w:val="24"/>
                <w:szCs w:val="24"/>
              </w:rPr>
            </w:pPr>
            <w:r>
              <w:rPr>
                <w:rFonts w:hint="eastAsia" w:ascii="仿宋_GB2312" w:hAnsi="仿宋_GB2312" w:eastAsia="仿宋_GB2312" w:cs="仿宋_GB2312"/>
                <w:sz w:val="24"/>
                <w:szCs w:val="24"/>
              </w:rPr>
              <w:t>7</w:t>
            </w:r>
            <w:r>
              <w:rPr>
                <w:rFonts w:ascii="仿宋_GB2312" w:hAnsi="仿宋_GB2312" w:eastAsia="仿宋_GB2312" w:cs="仿宋_GB2312"/>
                <w:sz w:val="24"/>
                <w:szCs w:val="24"/>
              </w:rPr>
              <w:t>.网店运营推广</w:t>
            </w:r>
            <w:r>
              <w:rPr>
                <w:rFonts w:hint="eastAsia" w:ascii="仿宋_GB2312" w:hAnsi="仿宋_GB2312" w:eastAsia="仿宋_GB2312" w:cs="仿宋_GB2312"/>
                <w:sz w:val="24"/>
                <w:szCs w:val="24"/>
              </w:rPr>
              <w:t>策略</w:t>
            </w:r>
            <w:r>
              <w:rPr>
                <w:rFonts w:ascii="仿宋_GB2312" w:hAnsi="仿宋_GB2312" w:eastAsia="仿宋_GB2312" w:cs="仿宋_GB2312"/>
                <w:sz w:val="24"/>
                <w:szCs w:val="24"/>
              </w:rPr>
              <w:t>优化</w:t>
            </w:r>
          </w:p>
        </w:tc>
        <w:tc>
          <w:tcPr>
            <w:tcW w:w="4293" w:type="dxa"/>
            <w:gridSpan w:val="2"/>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评分整体说明：</w:t>
            </w:r>
            <w:r>
              <w:rPr>
                <w:rFonts w:hint="eastAsia" w:ascii="仿宋_GB2312" w:hAnsi="仿宋_GB2312" w:eastAsia="仿宋_GB2312" w:cs="仿宋_GB2312"/>
                <w:sz w:val="24"/>
                <w:szCs w:val="24"/>
              </w:rPr>
              <w:t>根据推荐引擎推广、搜索引擎推广、搜索排名优化的效果评分。推荐引擎推广与搜索引擎推广的效果反馈均通过点击量、成交量和转化率，搜索排名优化的效果通过SEO值反馈，共7项评分，总分共计40分。</w:t>
            </w:r>
          </w:p>
          <w:p>
            <w:pPr>
              <w:keepNext w:val="0"/>
              <w:keepLines w:val="0"/>
              <w:pageBreakBefore w:val="0"/>
              <w:kinsoku/>
              <w:wordWrap/>
              <w:topLinePunct w:val="0"/>
              <w:bidi w:val="0"/>
              <w:snapToGrid/>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推荐引擎推广：</w:t>
            </w:r>
            <w:r>
              <w:rPr>
                <w:rFonts w:hint="eastAsia" w:ascii="仿宋_GB2312" w:hAnsi="仿宋_GB2312" w:eastAsia="仿宋_GB2312" w:cs="仿宋_GB2312"/>
                <w:sz w:val="24"/>
                <w:szCs w:val="24"/>
              </w:rPr>
              <w:t>点击量满分为5分，成交量满分为5分，转化率满分为3分，共13分；</w:t>
            </w:r>
          </w:p>
          <w:p>
            <w:pPr>
              <w:keepNext w:val="0"/>
              <w:keepLines w:val="0"/>
              <w:pageBreakBefore w:val="0"/>
              <w:kinsoku/>
              <w:wordWrap/>
              <w:topLinePunct w:val="0"/>
              <w:bidi w:val="0"/>
              <w:snapToGrid/>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搜索引擎推广：</w:t>
            </w:r>
            <w:r>
              <w:rPr>
                <w:rFonts w:hint="eastAsia" w:ascii="仿宋_GB2312" w:hAnsi="仿宋_GB2312" w:eastAsia="仿宋_GB2312" w:cs="仿宋_GB2312"/>
                <w:sz w:val="24"/>
                <w:szCs w:val="24"/>
              </w:rPr>
              <w:t>点击量满分为5分，成交量满分为5分，转化率满分为3分，共计13分；</w:t>
            </w:r>
          </w:p>
          <w:p>
            <w:pPr>
              <w:keepNext w:val="0"/>
              <w:keepLines w:val="0"/>
              <w:pageBreakBefore w:val="0"/>
              <w:kinsoku/>
              <w:wordWrap/>
              <w:topLinePunct w:val="0"/>
              <w:bidi w:val="0"/>
              <w:snapToGrid/>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搜索引擎优化：</w:t>
            </w:r>
            <w:r>
              <w:rPr>
                <w:rFonts w:hint="eastAsia" w:ascii="仿宋_GB2312" w:hAnsi="仿宋_GB2312" w:eastAsia="仿宋_GB2312" w:cs="仿宋_GB2312"/>
                <w:sz w:val="24"/>
                <w:szCs w:val="24"/>
              </w:rPr>
              <w:t>搜索排名优化满分为14分。</w:t>
            </w:r>
          </w:p>
          <w:p>
            <w:pPr>
              <w:keepNext w:val="0"/>
              <w:keepLines w:val="0"/>
              <w:pageBreakBefore w:val="0"/>
              <w:kinsoku/>
              <w:wordWrap/>
              <w:topLinePunct w:val="0"/>
              <w:bidi w:val="0"/>
              <w:snapToGrid/>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推荐引擎推广和搜索引擎推广：以推荐引擎推广为例，每个赛场根据各队成绩排序，点击量第一名的团队获得该项成绩的满分5分，按照名次递减0.25分，第二名4.75分，依此类推；成交量第一名获得该项成绩的满分5分，按照名次递减0.25分，第二名4.75分，依此类推；转化率第一名获得该项成绩的满分3分，按照名次递减0.15分，第二名2.85分，依此类推，搜索引擎推广3项评分算法与推荐引擎推广相同。</w:t>
            </w:r>
          </w:p>
          <w:p>
            <w:pPr>
              <w:keepNext w:val="0"/>
              <w:keepLines w:val="0"/>
              <w:pageBreakBefore w:val="0"/>
              <w:kinsoku/>
              <w:wordWrap/>
              <w:topLinePunct w:val="0"/>
              <w:bidi w:val="0"/>
              <w:snapToGrid/>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搜索引擎优化：每个赛场根据各队SEO值进行排序，第一名获得该项成绩的满分14分，按照名次递减1分，第二名13分，依此类推。</w:t>
            </w:r>
          </w:p>
          <w:p>
            <w:pPr>
              <w:keepNext w:val="0"/>
              <w:keepLines w:val="0"/>
              <w:pageBreakBefore w:val="0"/>
              <w:kinsoku/>
              <w:wordWrap/>
              <w:topLinePunct w:val="0"/>
              <w:bidi w:val="0"/>
              <w:snapToGrid/>
              <w:spacing w:line="360" w:lineRule="auto"/>
              <w:rPr>
                <w:rFonts w:ascii="仿宋_GB2312" w:hAnsi="仿宋_GB2312" w:eastAsia="仿宋_GB2312" w:cs="仿宋_GB2312"/>
                <w:b/>
                <w:bCs/>
                <w:sz w:val="24"/>
                <w:szCs w:val="24"/>
              </w:rPr>
            </w:pPr>
            <w:r>
              <w:rPr>
                <w:rFonts w:hint="eastAsia" w:ascii="仿宋_GB2312" w:hAnsi="仿宋_GB2312" w:eastAsia="仿宋_GB2312" w:cs="仿宋_GB2312"/>
                <w:sz w:val="24"/>
                <w:szCs w:val="24"/>
              </w:rPr>
              <w:t>参赛团队最终成绩=搜索引擎推广点击量成绩+搜索引擎推广成交量成绩+搜索引擎推广转化率成绩+推荐引擎推广点击量成绩+推荐引擎推广成交量成绩+推荐引擎推广转化率成绩+搜索排名优化成绩。一旦发现参赛团队有违规操作行为，则该项目记为0分。</w:t>
            </w:r>
          </w:p>
        </w:tc>
        <w:tc>
          <w:tcPr>
            <w:tcW w:w="850" w:type="dxa"/>
            <w:tcBorders>
              <w:top w:val="single" w:color="auto" w:sz="4" w:space="0"/>
              <w:left w:val="single" w:color="000000" w:sz="4" w:space="0"/>
              <w:right w:val="single" w:color="auto"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40分</w:t>
            </w:r>
          </w:p>
        </w:tc>
        <w:tc>
          <w:tcPr>
            <w:tcW w:w="807" w:type="dxa"/>
            <w:tcBorders>
              <w:top w:val="single" w:color="auto" w:sz="4" w:space="0"/>
              <w:left w:val="single" w:color="auto"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机考评分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1152" w:type="dxa"/>
            <w:vMerge w:val="restart"/>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b/>
                <w:bCs/>
                <w:sz w:val="24"/>
                <w:szCs w:val="24"/>
                <w:lang w:eastAsia="zh-CN"/>
              </w:rPr>
              <w:t>直播销售及客户服务</w:t>
            </w:r>
          </w:p>
        </w:tc>
        <w:tc>
          <w:tcPr>
            <w:tcW w:w="1974" w:type="dxa"/>
            <w:vMerge w:val="restart"/>
            <w:tcBorders>
              <w:left w:val="single" w:color="000000" w:sz="4" w:space="0"/>
              <w:right w:val="single" w:color="000000" w:sz="4" w:space="0"/>
            </w:tcBorders>
            <w:vAlign w:val="center"/>
          </w:tcPr>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知识点：</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1.直播销售规范</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2.直播互动类型</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3.直播促单方法</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4.客户接待规范</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5.客户沟通方法</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6.客户问题处理方法</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7.客户异议处理原则</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8.智能客服问答配置方法</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技能点：</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1.直播脚本策划</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2.直播商品讲解</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3.直播互动及节奏把控</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4.智能客服问答配置</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5.客户问题处理</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6.客户交易促成</w:t>
            </w:r>
          </w:p>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7.客户异议处理</w:t>
            </w:r>
          </w:p>
        </w:tc>
        <w:tc>
          <w:tcPr>
            <w:tcW w:w="1276" w:type="dxa"/>
            <w:vMerge w:val="restart"/>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直播销售</w:t>
            </w:r>
          </w:p>
        </w:tc>
        <w:tc>
          <w:tcPr>
            <w:tcW w:w="3017" w:type="dxa"/>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互动活动信息及购买页信息设置正确</w:t>
            </w:r>
          </w:p>
        </w:tc>
        <w:tc>
          <w:tcPr>
            <w:tcW w:w="850" w:type="dxa"/>
            <w:tcBorders>
              <w:top w:val="single" w:color="auto" w:sz="4" w:space="0"/>
              <w:left w:val="single" w:color="000000" w:sz="4" w:space="0"/>
              <w:right w:val="single" w:color="auto" w:sz="4" w:space="0"/>
            </w:tcBorders>
            <w:vAlign w:val="center"/>
          </w:tcPr>
          <w:p>
            <w:pPr>
              <w:keepNext w:val="0"/>
              <w:keepLines w:val="0"/>
              <w:pageBreakBefore w:val="0"/>
              <w:kinsoku/>
              <w:wordWrap/>
              <w:topLinePunct w:val="0"/>
              <w:bidi w:val="0"/>
              <w:snapToGrid/>
              <w:spacing w:line="360" w:lineRule="auto"/>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2分</w:t>
            </w:r>
          </w:p>
        </w:tc>
        <w:tc>
          <w:tcPr>
            <w:tcW w:w="807" w:type="dxa"/>
            <w:tcBorders>
              <w:top w:val="single" w:color="auto" w:sz="4" w:space="0"/>
              <w:left w:val="single" w:color="auto"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机考评分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1152"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eastAsia" w:ascii="仿宋_GB2312" w:hAnsi="仿宋_GB2312" w:eastAsia="仿宋_GB2312" w:cs="仿宋_GB2312"/>
                <w:b/>
                <w:bCs/>
                <w:sz w:val="24"/>
                <w:szCs w:val="24"/>
              </w:rPr>
            </w:pPr>
          </w:p>
        </w:tc>
        <w:tc>
          <w:tcPr>
            <w:tcW w:w="1974" w:type="dxa"/>
            <w:vMerge w:val="continue"/>
            <w:tcBorders>
              <w:left w:val="single" w:color="000000" w:sz="4" w:space="0"/>
              <w:right w:val="single" w:color="000000" w:sz="4" w:space="0"/>
            </w:tcBorders>
            <w:vAlign w:val="center"/>
          </w:tcPr>
          <w:p>
            <w:pPr>
              <w:pStyle w:val="9"/>
              <w:keepNext w:val="0"/>
              <w:keepLines w:val="0"/>
              <w:pageBreakBefore w:val="0"/>
              <w:kinsoku/>
              <w:wordWrap/>
              <w:topLinePunct w:val="0"/>
              <w:bidi w:val="0"/>
              <w:snapToGrid/>
              <w:spacing w:after="0" w:line="360" w:lineRule="auto"/>
              <w:ind w:left="0" w:leftChars="0" w:firstLine="0" w:firstLineChars="0"/>
              <w:rPr>
                <w:rFonts w:hint="eastAsia" w:ascii="仿宋_GB2312" w:hAnsi="仿宋_GB2312" w:eastAsia="仿宋_GB2312" w:cs="仿宋_GB2312"/>
                <w:sz w:val="24"/>
                <w:szCs w:val="24"/>
              </w:rPr>
            </w:pPr>
          </w:p>
        </w:tc>
        <w:tc>
          <w:tcPr>
            <w:tcW w:w="1276"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eastAsia" w:ascii="仿宋_GB2312" w:hAnsi="仿宋_GB2312" w:eastAsia="仿宋_GB2312" w:cs="仿宋_GB2312"/>
                <w:sz w:val="24"/>
                <w:szCs w:val="24"/>
              </w:rPr>
            </w:pPr>
          </w:p>
        </w:tc>
        <w:tc>
          <w:tcPr>
            <w:tcW w:w="3017" w:type="dxa"/>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购买页商品标题设置合理</w:t>
            </w:r>
          </w:p>
        </w:tc>
        <w:tc>
          <w:tcPr>
            <w:tcW w:w="850" w:type="dxa"/>
            <w:tcBorders>
              <w:top w:val="single" w:color="auto" w:sz="4" w:space="0"/>
              <w:left w:val="single" w:color="000000" w:sz="4" w:space="0"/>
              <w:right w:val="single" w:color="auto" w:sz="4" w:space="0"/>
            </w:tcBorders>
            <w:vAlign w:val="center"/>
          </w:tcPr>
          <w:p>
            <w:pPr>
              <w:keepNext w:val="0"/>
              <w:keepLines w:val="0"/>
              <w:pageBreakBefore w:val="0"/>
              <w:kinsoku/>
              <w:wordWrap/>
              <w:topLinePunct w:val="0"/>
              <w:bidi w:val="0"/>
              <w:snapToGrid/>
              <w:spacing w:line="360" w:lineRule="auto"/>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1分</w:t>
            </w:r>
          </w:p>
        </w:tc>
        <w:tc>
          <w:tcPr>
            <w:tcW w:w="807" w:type="dxa"/>
            <w:vMerge w:val="restart"/>
            <w:tcBorders>
              <w:top w:val="single" w:color="auto" w:sz="4" w:space="0"/>
              <w:left w:val="single" w:color="auto"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p>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结果评分</w:t>
            </w:r>
          </w:p>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1152"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974" w:type="dxa"/>
            <w:vMerge w:val="continue"/>
            <w:tcBorders>
              <w:left w:val="single" w:color="000000" w:sz="4" w:space="0"/>
              <w:right w:val="single" w:color="000000" w:sz="4" w:space="0"/>
            </w:tcBorders>
            <w:vAlign w:val="center"/>
          </w:tcPr>
          <w:p>
            <w:pPr>
              <w:pStyle w:val="9"/>
              <w:keepNext w:val="0"/>
              <w:keepLines w:val="0"/>
              <w:pageBreakBefore w:val="0"/>
              <w:kinsoku/>
              <w:wordWrap/>
              <w:topLinePunct w:val="0"/>
              <w:bidi w:val="0"/>
              <w:snapToGrid/>
              <w:spacing w:after="0" w:line="360" w:lineRule="auto"/>
              <w:ind w:left="0" w:leftChars="0" w:firstLine="0" w:firstLineChars="0"/>
              <w:rPr>
                <w:rFonts w:ascii="仿宋_GB2312" w:hAnsi="仿宋_GB2312" w:eastAsia="仿宋_GB2312" w:cs="仿宋_GB2312"/>
                <w:sz w:val="24"/>
                <w:szCs w:val="24"/>
              </w:rPr>
            </w:pPr>
          </w:p>
        </w:tc>
        <w:tc>
          <w:tcPr>
            <w:tcW w:w="1276"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3017" w:type="dxa"/>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直播开场预热要素完整</w:t>
            </w:r>
          </w:p>
        </w:tc>
        <w:tc>
          <w:tcPr>
            <w:tcW w:w="850" w:type="dxa"/>
            <w:tcBorders>
              <w:top w:val="single" w:color="auto" w:sz="4" w:space="0"/>
              <w:left w:val="single" w:color="000000" w:sz="4" w:space="0"/>
              <w:right w:val="single" w:color="auto" w:sz="4" w:space="0"/>
            </w:tcBorders>
            <w:vAlign w:val="center"/>
          </w:tcPr>
          <w:p>
            <w:pPr>
              <w:keepNext w:val="0"/>
              <w:keepLines w:val="0"/>
              <w:pageBreakBefore w:val="0"/>
              <w:kinsoku/>
              <w:wordWrap/>
              <w:topLinePunct w:val="0"/>
              <w:bidi w:val="0"/>
              <w:snapToGrid/>
              <w:spacing w:line="360" w:lineRule="auto"/>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1分</w:t>
            </w:r>
          </w:p>
        </w:tc>
        <w:tc>
          <w:tcPr>
            <w:tcW w:w="807" w:type="dxa"/>
            <w:vMerge w:val="continue"/>
            <w:tcBorders>
              <w:left w:val="single" w:color="auto"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jc w:val="center"/>
        </w:trPr>
        <w:tc>
          <w:tcPr>
            <w:tcW w:w="1152"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974"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276"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3017" w:type="dxa"/>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商品引入话术讲解合理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商品属性及卖点讲解准确</w:t>
            </w:r>
          </w:p>
        </w:tc>
        <w:tc>
          <w:tcPr>
            <w:tcW w:w="850" w:type="dxa"/>
            <w:tcBorders>
              <w:left w:val="single" w:color="000000" w:sz="4" w:space="0"/>
              <w:right w:val="single" w:color="auto" w:sz="4" w:space="0"/>
            </w:tcBorders>
            <w:vAlign w:val="center"/>
          </w:tcPr>
          <w:p>
            <w:pPr>
              <w:keepNext w:val="0"/>
              <w:keepLines w:val="0"/>
              <w:pageBreakBefore w:val="0"/>
              <w:kinsoku/>
              <w:wordWrap/>
              <w:topLinePunct w:val="0"/>
              <w:bidi w:val="0"/>
              <w:snapToGrid/>
              <w:spacing w:line="360" w:lineRule="auto"/>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5分</w:t>
            </w:r>
          </w:p>
        </w:tc>
        <w:tc>
          <w:tcPr>
            <w:tcW w:w="807" w:type="dxa"/>
            <w:vMerge w:val="continue"/>
            <w:tcBorders>
              <w:left w:val="single" w:color="auto"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jc w:val="center"/>
        </w:trPr>
        <w:tc>
          <w:tcPr>
            <w:tcW w:w="1152"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974"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276"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3017" w:type="dxa"/>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直播互动讲解准确</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弹幕互动回复准确</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直播互动氛围良好</w:t>
            </w:r>
          </w:p>
        </w:tc>
        <w:tc>
          <w:tcPr>
            <w:tcW w:w="850" w:type="dxa"/>
            <w:tcBorders>
              <w:left w:val="single" w:color="000000" w:sz="4" w:space="0"/>
              <w:right w:val="single" w:color="auto" w:sz="4" w:space="0"/>
            </w:tcBorders>
            <w:vAlign w:val="center"/>
          </w:tcPr>
          <w:p>
            <w:pPr>
              <w:keepNext w:val="0"/>
              <w:keepLines w:val="0"/>
              <w:pageBreakBefore w:val="0"/>
              <w:kinsoku/>
              <w:wordWrap/>
              <w:topLinePunct w:val="0"/>
              <w:bidi w:val="0"/>
              <w:snapToGrid/>
              <w:spacing w:line="360" w:lineRule="auto"/>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3分</w:t>
            </w:r>
          </w:p>
        </w:tc>
        <w:tc>
          <w:tcPr>
            <w:tcW w:w="807" w:type="dxa"/>
            <w:vMerge w:val="continue"/>
            <w:tcBorders>
              <w:left w:val="single" w:color="auto"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jc w:val="center"/>
        </w:trPr>
        <w:tc>
          <w:tcPr>
            <w:tcW w:w="1152"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974"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276"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3017" w:type="dxa"/>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直播促单</w:t>
            </w:r>
            <w:r>
              <w:rPr>
                <w:rFonts w:hint="eastAsia" w:ascii="仿宋_GB2312" w:hAnsi="仿宋_GB2312" w:eastAsia="仿宋_GB2312" w:cs="仿宋_GB2312"/>
                <w:sz w:val="24"/>
                <w:szCs w:val="24"/>
                <w:lang w:val="en-US" w:eastAsia="zh-CN"/>
              </w:rPr>
              <w:t>具有吸引力</w:t>
            </w:r>
          </w:p>
        </w:tc>
        <w:tc>
          <w:tcPr>
            <w:tcW w:w="850" w:type="dxa"/>
            <w:tcBorders>
              <w:left w:val="single" w:color="000000" w:sz="4" w:space="0"/>
              <w:right w:val="single" w:color="auto" w:sz="4" w:space="0"/>
            </w:tcBorders>
            <w:vAlign w:val="center"/>
          </w:tcPr>
          <w:p>
            <w:pPr>
              <w:keepNext w:val="0"/>
              <w:keepLines w:val="0"/>
              <w:pageBreakBefore w:val="0"/>
              <w:kinsoku/>
              <w:wordWrap/>
              <w:topLinePunct w:val="0"/>
              <w:bidi w:val="0"/>
              <w:snapToGrid/>
              <w:spacing w:line="360" w:lineRule="auto"/>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1分</w:t>
            </w:r>
          </w:p>
        </w:tc>
        <w:tc>
          <w:tcPr>
            <w:tcW w:w="807" w:type="dxa"/>
            <w:vMerge w:val="continue"/>
            <w:tcBorders>
              <w:left w:val="single" w:color="auto"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1152"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974"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276"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3017" w:type="dxa"/>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直播收尾讲解要素完整</w:t>
            </w:r>
          </w:p>
        </w:tc>
        <w:tc>
          <w:tcPr>
            <w:tcW w:w="850" w:type="dxa"/>
            <w:tcBorders>
              <w:left w:val="single" w:color="000000" w:sz="4" w:space="0"/>
              <w:right w:val="single" w:color="auto" w:sz="4" w:space="0"/>
            </w:tcBorders>
            <w:vAlign w:val="center"/>
          </w:tcPr>
          <w:p>
            <w:pPr>
              <w:keepNext w:val="0"/>
              <w:keepLines w:val="0"/>
              <w:pageBreakBefore w:val="0"/>
              <w:kinsoku/>
              <w:wordWrap/>
              <w:topLinePunct w:val="0"/>
              <w:bidi w:val="0"/>
              <w:snapToGrid/>
              <w:spacing w:line="360" w:lineRule="auto"/>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1分</w:t>
            </w:r>
          </w:p>
        </w:tc>
        <w:tc>
          <w:tcPr>
            <w:tcW w:w="807" w:type="dxa"/>
            <w:vMerge w:val="continue"/>
            <w:tcBorders>
              <w:left w:val="single" w:color="auto"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152"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974"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276"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eastAsia" w:ascii="仿宋_GB2312" w:hAnsi="仿宋_GB2312" w:eastAsia="仿宋_GB2312" w:cs="仿宋_GB2312"/>
                <w:sz w:val="24"/>
                <w:szCs w:val="24"/>
              </w:rPr>
            </w:pPr>
          </w:p>
        </w:tc>
        <w:tc>
          <w:tcPr>
            <w:tcW w:w="3017" w:type="dxa"/>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直播过程商品上架及时</w:t>
            </w:r>
          </w:p>
        </w:tc>
        <w:tc>
          <w:tcPr>
            <w:tcW w:w="850" w:type="dxa"/>
            <w:tcBorders>
              <w:left w:val="single" w:color="000000" w:sz="4" w:space="0"/>
              <w:right w:val="single" w:color="auto" w:sz="4" w:space="0"/>
            </w:tcBorders>
            <w:vAlign w:val="center"/>
          </w:tcPr>
          <w:p>
            <w:pPr>
              <w:keepNext w:val="0"/>
              <w:keepLines w:val="0"/>
              <w:pageBreakBefore w:val="0"/>
              <w:kinsoku/>
              <w:wordWrap/>
              <w:topLinePunct w:val="0"/>
              <w:bidi w:val="0"/>
              <w:snapToGrid/>
              <w:spacing w:line="360" w:lineRule="auto"/>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0.5分</w:t>
            </w:r>
          </w:p>
        </w:tc>
        <w:tc>
          <w:tcPr>
            <w:tcW w:w="807" w:type="dxa"/>
            <w:vMerge w:val="restart"/>
            <w:tcBorders>
              <w:left w:val="single" w:color="auto"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机考评分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jc w:val="center"/>
        </w:trPr>
        <w:tc>
          <w:tcPr>
            <w:tcW w:w="1152"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974"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276"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eastAsia" w:ascii="仿宋_GB2312" w:hAnsi="仿宋_GB2312" w:eastAsia="仿宋_GB2312" w:cs="仿宋_GB2312"/>
                <w:sz w:val="24"/>
                <w:szCs w:val="24"/>
              </w:rPr>
            </w:pPr>
          </w:p>
        </w:tc>
        <w:tc>
          <w:tcPr>
            <w:tcW w:w="3017" w:type="dxa"/>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直播达到规定时长</w:t>
            </w:r>
          </w:p>
        </w:tc>
        <w:tc>
          <w:tcPr>
            <w:tcW w:w="850" w:type="dxa"/>
            <w:tcBorders>
              <w:left w:val="single" w:color="000000" w:sz="4" w:space="0"/>
              <w:right w:val="single" w:color="auto" w:sz="4" w:space="0"/>
            </w:tcBorders>
            <w:vAlign w:val="center"/>
          </w:tcPr>
          <w:p>
            <w:pPr>
              <w:keepNext w:val="0"/>
              <w:keepLines w:val="0"/>
              <w:pageBreakBefore w:val="0"/>
              <w:kinsoku/>
              <w:wordWrap/>
              <w:topLinePunct w:val="0"/>
              <w:bidi w:val="0"/>
              <w:snapToGrid/>
              <w:spacing w:line="360" w:lineRule="auto"/>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0.5分</w:t>
            </w:r>
          </w:p>
        </w:tc>
        <w:tc>
          <w:tcPr>
            <w:tcW w:w="807" w:type="dxa"/>
            <w:vMerge w:val="continue"/>
            <w:tcBorders>
              <w:left w:val="single" w:color="auto"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 w:hRule="atLeast"/>
          <w:jc w:val="center"/>
        </w:trPr>
        <w:tc>
          <w:tcPr>
            <w:tcW w:w="1152"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974"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276"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eastAsia" w:ascii="仿宋_GB2312" w:hAnsi="仿宋_GB2312" w:eastAsia="仿宋_GB2312" w:cs="仿宋_GB2312"/>
                <w:sz w:val="24"/>
                <w:szCs w:val="24"/>
              </w:rPr>
            </w:pPr>
          </w:p>
        </w:tc>
        <w:tc>
          <w:tcPr>
            <w:tcW w:w="3017" w:type="dxa"/>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仪态大方得体</w:t>
            </w:r>
          </w:p>
        </w:tc>
        <w:tc>
          <w:tcPr>
            <w:tcW w:w="850" w:type="dxa"/>
            <w:tcBorders>
              <w:left w:val="single" w:color="000000" w:sz="4" w:space="0"/>
              <w:right w:val="single" w:color="auto" w:sz="4" w:space="0"/>
            </w:tcBorders>
            <w:vAlign w:val="center"/>
          </w:tcPr>
          <w:p>
            <w:pPr>
              <w:keepNext w:val="0"/>
              <w:keepLines w:val="0"/>
              <w:pageBreakBefore w:val="0"/>
              <w:kinsoku/>
              <w:wordWrap/>
              <w:topLinePunct w:val="0"/>
              <w:bidi w:val="0"/>
              <w:snapToGrid/>
              <w:spacing w:line="360" w:lineRule="auto"/>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1分</w:t>
            </w:r>
          </w:p>
        </w:tc>
        <w:tc>
          <w:tcPr>
            <w:tcW w:w="807" w:type="dxa"/>
            <w:vMerge w:val="restart"/>
            <w:tcBorders>
              <w:left w:val="single" w:color="auto"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结果评分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 w:hRule="atLeast"/>
          <w:jc w:val="center"/>
        </w:trPr>
        <w:tc>
          <w:tcPr>
            <w:tcW w:w="1152"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pPr>
          </w:p>
        </w:tc>
        <w:tc>
          <w:tcPr>
            <w:tcW w:w="1974"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pPr>
          </w:p>
        </w:tc>
        <w:tc>
          <w:tcPr>
            <w:tcW w:w="1276"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pPr>
          </w:p>
        </w:tc>
        <w:tc>
          <w:tcPr>
            <w:tcW w:w="3017" w:type="dxa"/>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语言流畅、逻辑清晰</w:t>
            </w:r>
          </w:p>
        </w:tc>
        <w:tc>
          <w:tcPr>
            <w:tcW w:w="850" w:type="dxa"/>
            <w:tcBorders>
              <w:left w:val="single" w:color="000000" w:sz="4" w:space="0"/>
              <w:right w:val="single" w:color="auto" w:sz="4" w:space="0"/>
            </w:tcBorders>
            <w:vAlign w:val="center"/>
          </w:tcPr>
          <w:p>
            <w:pPr>
              <w:keepNext w:val="0"/>
              <w:keepLines w:val="0"/>
              <w:pageBreakBefore w:val="0"/>
              <w:kinsoku/>
              <w:wordWrap/>
              <w:topLinePunct w:val="0"/>
              <w:bidi w:val="0"/>
              <w:snapToGrid/>
              <w:spacing w:line="360" w:lineRule="auto"/>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2分</w:t>
            </w:r>
          </w:p>
        </w:tc>
        <w:tc>
          <w:tcPr>
            <w:tcW w:w="807" w:type="dxa"/>
            <w:vMerge w:val="continue"/>
            <w:tcBorders>
              <w:left w:val="single" w:color="auto"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default" w:ascii="仿宋_GB2312" w:hAnsi="仿宋_GB2312" w:eastAsia="仿宋_GB2312" w:cs="仿宋_GB2312"/>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 w:hRule="atLeast"/>
          <w:jc w:val="center"/>
        </w:trPr>
        <w:tc>
          <w:tcPr>
            <w:tcW w:w="1152"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default" w:ascii="仿宋_GB2312" w:hAnsi="仿宋_GB2312" w:eastAsia="仿宋_GB2312" w:cs="仿宋_GB2312"/>
                <w:sz w:val="24"/>
                <w:szCs w:val="24"/>
                <w:lang w:val="en-US" w:eastAsia="zh-CN"/>
              </w:rPr>
            </w:pPr>
          </w:p>
        </w:tc>
        <w:tc>
          <w:tcPr>
            <w:tcW w:w="1974"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default" w:ascii="仿宋_GB2312" w:hAnsi="仿宋_GB2312" w:eastAsia="仿宋_GB2312" w:cs="仿宋_GB2312"/>
                <w:sz w:val="24"/>
                <w:szCs w:val="24"/>
                <w:lang w:val="en-US" w:eastAsia="zh-CN"/>
              </w:rPr>
            </w:pPr>
          </w:p>
        </w:tc>
        <w:tc>
          <w:tcPr>
            <w:tcW w:w="1276"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default" w:ascii="仿宋_GB2312" w:hAnsi="仿宋_GB2312" w:eastAsia="仿宋_GB2312" w:cs="仿宋_GB2312"/>
                <w:sz w:val="24"/>
                <w:szCs w:val="24"/>
                <w:lang w:val="en-US" w:eastAsia="zh-CN"/>
              </w:rPr>
            </w:pPr>
          </w:p>
        </w:tc>
        <w:tc>
          <w:tcPr>
            <w:tcW w:w="3017" w:type="dxa"/>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直播活动策划有创新性</w:t>
            </w:r>
          </w:p>
        </w:tc>
        <w:tc>
          <w:tcPr>
            <w:tcW w:w="850" w:type="dxa"/>
            <w:tcBorders>
              <w:left w:val="single" w:color="000000" w:sz="4" w:space="0"/>
              <w:right w:val="single" w:color="auto" w:sz="4" w:space="0"/>
            </w:tcBorders>
            <w:vAlign w:val="center"/>
          </w:tcPr>
          <w:p>
            <w:pPr>
              <w:keepNext w:val="0"/>
              <w:keepLines w:val="0"/>
              <w:pageBreakBefore w:val="0"/>
              <w:kinsoku/>
              <w:wordWrap/>
              <w:topLinePunct w:val="0"/>
              <w:bidi w:val="0"/>
              <w:snapToGrid/>
              <w:spacing w:line="360" w:lineRule="auto"/>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2分</w:t>
            </w:r>
          </w:p>
        </w:tc>
        <w:tc>
          <w:tcPr>
            <w:tcW w:w="807" w:type="dxa"/>
            <w:vMerge w:val="continue"/>
            <w:tcBorders>
              <w:left w:val="single" w:color="auto"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default" w:ascii="仿宋_GB2312" w:hAnsi="仿宋_GB2312" w:eastAsia="仿宋_GB2312" w:cs="仿宋_GB2312"/>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 w:hRule="atLeast"/>
          <w:jc w:val="center"/>
        </w:trPr>
        <w:tc>
          <w:tcPr>
            <w:tcW w:w="1152"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default" w:ascii="仿宋_GB2312" w:hAnsi="仿宋_GB2312" w:eastAsia="仿宋_GB2312" w:cs="仿宋_GB2312"/>
                <w:sz w:val="24"/>
                <w:szCs w:val="24"/>
                <w:lang w:val="en-US" w:eastAsia="zh-CN"/>
              </w:rPr>
            </w:pPr>
          </w:p>
        </w:tc>
        <w:tc>
          <w:tcPr>
            <w:tcW w:w="1974"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default" w:ascii="仿宋_GB2312" w:hAnsi="仿宋_GB2312" w:eastAsia="仿宋_GB2312" w:cs="仿宋_GB2312"/>
                <w:sz w:val="24"/>
                <w:szCs w:val="24"/>
                <w:lang w:val="en-US" w:eastAsia="zh-CN"/>
              </w:rPr>
            </w:pPr>
          </w:p>
        </w:tc>
        <w:tc>
          <w:tcPr>
            <w:tcW w:w="1276"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default" w:ascii="仿宋_GB2312" w:hAnsi="仿宋_GB2312" w:eastAsia="仿宋_GB2312" w:cs="仿宋_GB2312"/>
                <w:sz w:val="24"/>
                <w:szCs w:val="24"/>
                <w:lang w:val="en-US" w:eastAsia="zh-CN"/>
              </w:rPr>
            </w:pPr>
          </w:p>
        </w:tc>
        <w:tc>
          <w:tcPr>
            <w:tcW w:w="3017" w:type="dxa"/>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直播画面呈现效果良好</w:t>
            </w:r>
          </w:p>
        </w:tc>
        <w:tc>
          <w:tcPr>
            <w:tcW w:w="850" w:type="dxa"/>
            <w:tcBorders>
              <w:left w:val="single" w:color="000000" w:sz="4" w:space="0"/>
              <w:right w:val="single" w:color="auto" w:sz="4" w:space="0"/>
            </w:tcBorders>
            <w:vAlign w:val="center"/>
          </w:tcPr>
          <w:p>
            <w:pPr>
              <w:keepNext w:val="0"/>
              <w:keepLines w:val="0"/>
              <w:pageBreakBefore w:val="0"/>
              <w:kinsoku/>
              <w:wordWrap/>
              <w:topLinePunct w:val="0"/>
              <w:bidi w:val="0"/>
              <w:snapToGrid/>
              <w:spacing w:line="360" w:lineRule="auto"/>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2分</w:t>
            </w:r>
          </w:p>
        </w:tc>
        <w:tc>
          <w:tcPr>
            <w:tcW w:w="807" w:type="dxa"/>
            <w:vMerge w:val="continue"/>
            <w:tcBorders>
              <w:left w:val="single" w:color="auto"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default" w:ascii="仿宋_GB2312" w:hAnsi="仿宋_GB2312" w:eastAsia="仿宋_GB2312" w:cs="仿宋_GB2312"/>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3" w:hRule="atLeast"/>
          <w:jc w:val="center"/>
        </w:trPr>
        <w:tc>
          <w:tcPr>
            <w:tcW w:w="1152"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974"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276" w:type="dxa"/>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智能客服问答处理</w:t>
            </w:r>
          </w:p>
        </w:tc>
        <w:tc>
          <w:tcPr>
            <w:tcW w:w="3017" w:type="dxa"/>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在规定的时间内，准确回复15个客户售前、售中、售后相关的50个问题，每回答正确一个客户问题得0.2分</w:t>
            </w:r>
          </w:p>
        </w:tc>
        <w:tc>
          <w:tcPr>
            <w:tcW w:w="850" w:type="dxa"/>
            <w:tcBorders>
              <w:left w:val="single" w:color="000000" w:sz="4" w:space="0"/>
              <w:right w:val="single" w:color="auto" w:sz="4" w:space="0"/>
            </w:tcBorders>
            <w:vAlign w:val="center"/>
          </w:tcPr>
          <w:p>
            <w:pPr>
              <w:keepNext w:val="0"/>
              <w:keepLines w:val="0"/>
              <w:pageBreakBefore w:val="0"/>
              <w:kinsoku/>
              <w:wordWrap/>
              <w:topLinePunct w:val="0"/>
              <w:bidi w:val="0"/>
              <w:snapToGrid/>
              <w:spacing w:line="360" w:lineRule="auto"/>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10分</w:t>
            </w:r>
          </w:p>
        </w:tc>
        <w:tc>
          <w:tcPr>
            <w:tcW w:w="807" w:type="dxa"/>
            <w:tcBorders>
              <w:left w:val="single" w:color="auto"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机考评分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1152"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974" w:type="dxa"/>
            <w:vMerge w:val="continue"/>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ascii="仿宋_GB2312" w:hAnsi="仿宋_GB2312" w:eastAsia="仿宋_GB2312" w:cs="仿宋_GB2312"/>
                <w:sz w:val="24"/>
                <w:szCs w:val="24"/>
              </w:rPr>
            </w:pPr>
          </w:p>
        </w:tc>
        <w:tc>
          <w:tcPr>
            <w:tcW w:w="1276" w:type="dxa"/>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客户异议处理</w:t>
            </w:r>
          </w:p>
        </w:tc>
        <w:tc>
          <w:tcPr>
            <w:tcW w:w="3017" w:type="dxa"/>
            <w:tcBorders>
              <w:left w:val="single" w:color="000000" w:sz="4" w:space="0"/>
              <w:right w:val="single" w:color="000000" w:sz="4" w:space="0"/>
            </w:tcBorders>
            <w:vAlign w:val="center"/>
          </w:tcPr>
          <w:p>
            <w:pPr>
              <w:keepNext w:val="0"/>
              <w:keepLines w:val="0"/>
              <w:pageBreakBefore w:val="0"/>
              <w:kinsoku/>
              <w:wordWrap/>
              <w:topLinePunct w:val="0"/>
              <w:bidi w:val="0"/>
              <w:snapToGrid/>
              <w:spacing w:line="360" w:lineRule="auto"/>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客户异议类型判断准确；异议产生原因分析合理；客户异议处理方案制定合理</w:t>
            </w:r>
          </w:p>
        </w:tc>
        <w:tc>
          <w:tcPr>
            <w:tcW w:w="850" w:type="dxa"/>
            <w:tcBorders>
              <w:left w:val="single" w:color="000000" w:sz="4" w:space="0"/>
              <w:right w:val="single" w:color="auto"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分</w:t>
            </w:r>
          </w:p>
        </w:tc>
        <w:tc>
          <w:tcPr>
            <w:tcW w:w="807" w:type="dxa"/>
            <w:tcBorders>
              <w:left w:val="single" w:color="auto" w:sz="4" w:space="0"/>
              <w:right w:val="single" w:color="000000" w:sz="4" w:space="0"/>
            </w:tcBorders>
            <w:vAlign w:val="center"/>
          </w:tcPr>
          <w:p>
            <w:pPr>
              <w:keepNext w:val="0"/>
              <w:keepLines w:val="0"/>
              <w:pageBreakBefore w:val="0"/>
              <w:kinsoku/>
              <w:wordWrap/>
              <w:topLinePunct w:val="0"/>
              <w:bidi w:val="0"/>
              <w:snapToGrid/>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结果评分</w:t>
            </w:r>
          </w:p>
        </w:tc>
      </w:tr>
      <w:bookmarkEnd w:id="5"/>
    </w:tbl>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ind w:firstLine="560" w:firstLineChars="200"/>
        <w:textAlignment w:val="baseline"/>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（二）评分方式</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ind w:firstLine="560" w:firstLineChars="200"/>
        <w:textAlignment w:val="baseline"/>
        <w:rPr>
          <w:rFonts w:hint="eastAsia"/>
          <w:lang w:val="en-US" w:eastAsia="zh-CN"/>
        </w:rPr>
      </w:pPr>
      <w:r>
        <w:rPr>
          <w:rFonts w:hint="eastAsia" w:ascii="仿宋_GB2312" w:hAnsi="仿宋_GB2312" w:eastAsia="仿宋_GB2312" w:cs="仿宋_GB2312"/>
          <w:b w:val="0"/>
          <w:kern w:val="2"/>
          <w:sz w:val="28"/>
          <w:szCs w:val="28"/>
          <w:lang w:val="en-US" w:eastAsia="zh-CN" w:bidi="ar-SA"/>
        </w:rPr>
        <w:t>1.裁判员选聘：裁判长由赛项执委会向大赛执委会推荐，由大赛执委会聘任。共安排25名裁判，其中加密裁判2人，现场裁判8人，评分裁判15人。加密裁判不得参与评分工作。</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jc w:val="center"/>
        <w:textAlignment w:val="baseline"/>
        <w:rPr>
          <w:rFonts w:hint="eastAsia" w:ascii="黑体" w:hAnsi="黑体" w:eastAsia="黑体" w:cs="黑体"/>
          <w:b w:val="0"/>
          <w:kern w:val="2"/>
          <w:sz w:val="24"/>
          <w:szCs w:val="24"/>
          <w:lang w:val="en-US" w:eastAsia="zh-CN" w:bidi="ar-SA"/>
        </w:rPr>
      </w:pPr>
      <w:r>
        <w:rPr>
          <w:rFonts w:hint="eastAsia" w:ascii="黑体" w:hAnsi="黑体" w:eastAsia="黑体" w:cs="黑体"/>
          <w:b w:val="0"/>
          <w:kern w:val="2"/>
          <w:sz w:val="24"/>
          <w:szCs w:val="24"/>
          <w:lang w:val="en-US" w:eastAsia="zh-CN" w:bidi="ar-SA"/>
        </w:rPr>
        <w:t>表11-2 裁判员选聘</w:t>
      </w:r>
    </w:p>
    <w:tbl>
      <w:tblPr>
        <w:tblStyle w:val="10"/>
        <w:tblpPr w:leftFromText="180" w:rightFromText="180" w:vertAnchor="text" w:horzAnchor="margin" w:tblpXSpec="center" w:tblpY="8"/>
        <w:tblW w:w="850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416"/>
        <w:gridCol w:w="1723"/>
        <w:gridCol w:w="1420"/>
        <w:gridCol w:w="1907"/>
        <w:gridCol w:w="7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64" w:hRule="atLeast"/>
        </w:trPr>
        <w:tc>
          <w:tcPr>
            <w:tcW w:w="1259" w:type="dxa"/>
            <w:tcBorders>
              <w:top w:val="single" w:color="auto" w:sz="8" w:space="0"/>
            </w:tcBorders>
            <w:shd w:val="clear" w:color="auto" w:fill="auto"/>
            <w:vAlign w:val="center"/>
          </w:tcPr>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jc w:val="center"/>
              <w:textAlignment w:val="baseline"/>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序号</w:t>
            </w:r>
          </w:p>
        </w:tc>
        <w:tc>
          <w:tcPr>
            <w:tcW w:w="1416" w:type="dxa"/>
            <w:tcBorders>
              <w:top w:val="single" w:color="auto" w:sz="8" w:space="0"/>
            </w:tcBorders>
            <w:shd w:val="clear" w:color="auto" w:fill="auto"/>
            <w:vAlign w:val="center"/>
          </w:tcPr>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jc w:val="center"/>
              <w:textAlignment w:val="baseline"/>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专业技术方向</w:t>
            </w:r>
          </w:p>
        </w:tc>
        <w:tc>
          <w:tcPr>
            <w:tcW w:w="1723" w:type="dxa"/>
            <w:tcBorders>
              <w:top w:val="single" w:color="auto" w:sz="8" w:space="0"/>
            </w:tcBorders>
            <w:shd w:val="clear" w:color="auto" w:fill="auto"/>
            <w:vAlign w:val="center"/>
          </w:tcPr>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jc w:val="center"/>
              <w:textAlignment w:val="baseline"/>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知识能力要求</w:t>
            </w:r>
          </w:p>
        </w:tc>
        <w:tc>
          <w:tcPr>
            <w:tcW w:w="1420" w:type="dxa"/>
            <w:tcBorders>
              <w:top w:val="single" w:color="auto" w:sz="8" w:space="0"/>
            </w:tcBorders>
            <w:shd w:val="clear" w:color="auto" w:fill="auto"/>
            <w:vAlign w:val="center"/>
          </w:tcPr>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jc w:val="center"/>
              <w:textAlignment w:val="baseline"/>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执裁、教学、工作经历</w:t>
            </w:r>
          </w:p>
        </w:tc>
        <w:tc>
          <w:tcPr>
            <w:tcW w:w="1907" w:type="dxa"/>
            <w:tcBorders>
              <w:top w:val="single" w:color="auto" w:sz="8" w:space="0"/>
            </w:tcBorders>
            <w:shd w:val="clear" w:color="auto" w:fill="auto"/>
            <w:vAlign w:val="center"/>
          </w:tcPr>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jc w:val="center"/>
              <w:textAlignment w:val="baseline"/>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专业技术职称</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jc w:val="center"/>
              <w:textAlignment w:val="baseline"/>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（职业资格等级）</w:t>
            </w:r>
          </w:p>
        </w:tc>
        <w:tc>
          <w:tcPr>
            <w:tcW w:w="779" w:type="dxa"/>
            <w:tcBorders>
              <w:top w:val="single" w:color="auto" w:sz="8" w:space="0"/>
            </w:tcBorders>
            <w:shd w:val="clear" w:color="auto" w:fill="auto"/>
            <w:vAlign w:val="center"/>
          </w:tcPr>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jc w:val="center"/>
              <w:textAlignment w:val="baseline"/>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9" w:type="dxa"/>
            <w:shd w:val="clear" w:color="auto" w:fill="auto"/>
            <w:vAlign w:val="center"/>
          </w:tcPr>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jc w:val="center"/>
              <w:textAlignment w:val="baseline"/>
              <w:rPr>
                <w:rFonts w:hint="eastAsia" w:ascii="仿宋_GB2312" w:hAnsi="仿宋_GB2312" w:eastAsia="仿宋_GB2312" w:cs="仿宋_GB2312"/>
                <w:b w:val="0"/>
                <w:kern w:val="2"/>
                <w:sz w:val="24"/>
                <w:szCs w:val="24"/>
                <w:lang w:val="en-US" w:eastAsia="zh-CN" w:bidi="ar-SA"/>
              </w:rPr>
            </w:pPr>
            <w:r>
              <w:rPr>
                <w:rFonts w:hint="eastAsia" w:ascii="仿宋_GB2312" w:hAnsi="仿宋_GB2312" w:eastAsia="仿宋_GB2312" w:cs="仿宋_GB2312"/>
                <w:b w:val="0"/>
                <w:kern w:val="2"/>
                <w:sz w:val="24"/>
                <w:szCs w:val="24"/>
                <w:lang w:val="en-US" w:eastAsia="zh-CN" w:bidi="ar-SA"/>
              </w:rPr>
              <w:t>1.加密裁判</w:t>
            </w:r>
          </w:p>
        </w:tc>
        <w:tc>
          <w:tcPr>
            <w:tcW w:w="1416" w:type="dxa"/>
            <w:shd w:val="clear" w:color="auto" w:fill="auto"/>
            <w:vAlign w:val="center"/>
          </w:tcPr>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jc w:val="center"/>
              <w:textAlignment w:val="baseline"/>
              <w:rPr>
                <w:rFonts w:hint="eastAsia" w:ascii="仿宋_GB2312" w:hAnsi="仿宋_GB2312" w:eastAsia="仿宋_GB2312" w:cs="仿宋_GB2312"/>
                <w:b w:val="0"/>
                <w:kern w:val="2"/>
                <w:sz w:val="24"/>
                <w:szCs w:val="24"/>
                <w:lang w:val="en-US" w:eastAsia="zh-CN" w:bidi="ar-SA"/>
              </w:rPr>
            </w:pPr>
            <w:r>
              <w:rPr>
                <w:rFonts w:hint="eastAsia" w:ascii="仿宋_GB2312" w:hAnsi="仿宋_GB2312" w:eastAsia="仿宋_GB2312" w:cs="仿宋_GB2312"/>
                <w:b w:val="0"/>
                <w:kern w:val="2"/>
                <w:sz w:val="24"/>
                <w:szCs w:val="24"/>
                <w:lang w:val="en-US" w:eastAsia="zh-CN" w:bidi="ar-SA"/>
              </w:rPr>
              <w:t>电子商务</w:t>
            </w:r>
          </w:p>
        </w:tc>
        <w:tc>
          <w:tcPr>
            <w:tcW w:w="1723" w:type="dxa"/>
            <w:shd w:val="clear" w:color="auto" w:fill="auto"/>
            <w:vAlign w:val="center"/>
          </w:tcPr>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jc w:val="center"/>
              <w:textAlignment w:val="baseline"/>
              <w:rPr>
                <w:rFonts w:hint="eastAsia" w:ascii="仿宋_GB2312" w:hAnsi="仿宋_GB2312" w:eastAsia="仿宋_GB2312" w:cs="仿宋_GB2312"/>
                <w:b w:val="0"/>
                <w:kern w:val="2"/>
                <w:sz w:val="24"/>
                <w:szCs w:val="24"/>
                <w:lang w:val="en-US" w:eastAsia="zh-CN" w:bidi="ar-SA"/>
              </w:rPr>
            </w:pPr>
            <w:r>
              <w:rPr>
                <w:rFonts w:hint="eastAsia" w:ascii="仿宋_GB2312" w:hAnsi="仿宋_GB2312" w:eastAsia="仿宋_GB2312" w:cs="仿宋_GB2312"/>
                <w:b w:val="0"/>
                <w:kern w:val="2"/>
                <w:sz w:val="24"/>
                <w:szCs w:val="24"/>
                <w:lang w:val="en-US" w:eastAsia="zh-CN" w:bidi="ar-SA"/>
              </w:rPr>
              <w:t>精通电子商务知识/技能，5年以上从业经验</w:t>
            </w:r>
          </w:p>
        </w:tc>
        <w:tc>
          <w:tcPr>
            <w:tcW w:w="1420" w:type="dxa"/>
            <w:shd w:val="clear" w:color="auto" w:fill="auto"/>
            <w:vAlign w:val="center"/>
          </w:tcPr>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jc w:val="center"/>
              <w:textAlignment w:val="baseline"/>
              <w:rPr>
                <w:rFonts w:hint="eastAsia" w:ascii="仿宋_GB2312" w:hAnsi="仿宋_GB2312" w:eastAsia="仿宋_GB2312" w:cs="仿宋_GB2312"/>
                <w:b w:val="0"/>
                <w:kern w:val="2"/>
                <w:sz w:val="24"/>
                <w:szCs w:val="24"/>
                <w:lang w:val="en-US" w:eastAsia="zh-CN" w:bidi="ar-SA"/>
              </w:rPr>
            </w:pPr>
            <w:r>
              <w:rPr>
                <w:rFonts w:hint="eastAsia" w:ascii="仿宋_GB2312" w:hAnsi="仿宋_GB2312" w:eastAsia="仿宋_GB2312" w:cs="仿宋_GB2312"/>
                <w:b w:val="0"/>
                <w:kern w:val="2"/>
                <w:sz w:val="24"/>
                <w:szCs w:val="24"/>
                <w:lang w:val="en-US" w:eastAsia="zh-CN" w:bidi="ar-SA"/>
              </w:rPr>
              <w:t>电子商务类专业教学、执裁经历</w:t>
            </w:r>
          </w:p>
        </w:tc>
        <w:tc>
          <w:tcPr>
            <w:tcW w:w="1907" w:type="dxa"/>
            <w:shd w:val="clear" w:color="auto" w:fill="auto"/>
            <w:vAlign w:val="center"/>
          </w:tcPr>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jc w:val="center"/>
              <w:textAlignment w:val="baseline"/>
              <w:rPr>
                <w:rFonts w:hint="eastAsia" w:ascii="仿宋_GB2312" w:hAnsi="仿宋_GB2312" w:eastAsia="仿宋_GB2312" w:cs="仿宋_GB2312"/>
                <w:b w:val="0"/>
                <w:kern w:val="2"/>
                <w:sz w:val="24"/>
                <w:szCs w:val="24"/>
                <w:lang w:val="en-US" w:eastAsia="zh-CN" w:bidi="ar-SA"/>
              </w:rPr>
            </w:pPr>
            <w:r>
              <w:rPr>
                <w:rFonts w:hint="eastAsia" w:ascii="仿宋_GB2312" w:hAnsi="仿宋_GB2312" w:eastAsia="仿宋_GB2312" w:cs="仿宋_GB2312"/>
                <w:b w:val="0"/>
                <w:kern w:val="2"/>
                <w:sz w:val="24"/>
                <w:szCs w:val="24"/>
                <w:lang w:val="en-US" w:eastAsia="zh-CN" w:bidi="ar-SA"/>
              </w:rPr>
              <w:t>中级职称</w:t>
            </w:r>
          </w:p>
        </w:tc>
        <w:tc>
          <w:tcPr>
            <w:tcW w:w="779" w:type="dxa"/>
            <w:shd w:val="clear" w:color="auto" w:fill="auto"/>
            <w:vAlign w:val="center"/>
          </w:tcPr>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ind w:firstLine="240" w:firstLineChars="100"/>
              <w:jc w:val="both"/>
              <w:textAlignment w:val="baseline"/>
              <w:rPr>
                <w:rFonts w:hint="eastAsia" w:ascii="仿宋_GB2312" w:hAnsi="仿宋_GB2312" w:eastAsia="仿宋_GB2312" w:cs="仿宋_GB2312"/>
                <w:b w:val="0"/>
                <w:kern w:val="2"/>
                <w:sz w:val="24"/>
                <w:szCs w:val="24"/>
                <w:lang w:val="en-US" w:eastAsia="zh-CN" w:bidi="ar-SA"/>
              </w:rPr>
            </w:pPr>
            <w:r>
              <w:rPr>
                <w:rFonts w:hint="eastAsia" w:ascii="仿宋_GB2312" w:hAnsi="仿宋_GB2312" w:eastAsia="仿宋_GB2312" w:cs="仿宋_GB2312"/>
                <w:b w:val="0"/>
                <w:kern w:val="2"/>
                <w:sz w:val="24"/>
                <w:szCs w:val="24"/>
                <w:lang w:val="en-US" w:eastAsia="zh-CN" w:bidi="ar-S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1259" w:type="dxa"/>
            <w:shd w:val="clear" w:color="auto" w:fill="auto"/>
            <w:vAlign w:val="center"/>
          </w:tcPr>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jc w:val="center"/>
              <w:textAlignment w:val="baseline"/>
              <w:rPr>
                <w:rFonts w:hint="eastAsia" w:ascii="仿宋_GB2312" w:hAnsi="仿宋_GB2312" w:eastAsia="仿宋_GB2312" w:cs="仿宋_GB2312"/>
                <w:b w:val="0"/>
                <w:kern w:val="2"/>
                <w:sz w:val="24"/>
                <w:szCs w:val="24"/>
                <w:lang w:val="en-US" w:eastAsia="zh-CN" w:bidi="ar-SA"/>
              </w:rPr>
            </w:pPr>
            <w:r>
              <w:rPr>
                <w:rFonts w:hint="eastAsia" w:ascii="仿宋_GB2312" w:hAnsi="仿宋_GB2312" w:eastAsia="仿宋_GB2312" w:cs="仿宋_GB2312"/>
                <w:b w:val="0"/>
                <w:kern w:val="2"/>
                <w:sz w:val="24"/>
                <w:szCs w:val="24"/>
                <w:lang w:val="en-US" w:eastAsia="zh-CN" w:bidi="ar-SA"/>
              </w:rPr>
              <w:t>2.现场裁判</w:t>
            </w:r>
          </w:p>
        </w:tc>
        <w:tc>
          <w:tcPr>
            <w:tcW w:w="1416" w:type="dxa"/>
            <w:shd w:val="clear" w:color="auto" w:fill="auto"/>
            <w:vAlign w:val="center"/>
          </w:tcPr>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jc w:val="center"/>
              <w:textAlignment w:val="baseline"/>
              <w:rPr>
                <w:rFonts w:hint="eastAsia" w:ascii="仿宋_GB2312" w:hAnsi="仿宋_GB2312" w:eastAsia="仿宋_GB2312" w:cs="仿宋_GB2312"/>
                <w:b w:val="0"/>
                <w:kern w:val="2"/>
                <w:sz w:val="24"/>
                <w:szCs w:val="24"/>
                <w:lang w:val="en-US" w:eastAsia="zh-CN" w:bidi="ar-SA"/>
              </w:rPr>
            </w:pPr>
            <w:r>
              <w:rPr>
                <w:rFonts w:hint="eastAsia" w:ascii="仿宋_GB2312" w:hAnsi="仿宋_GB2312" w:eastAsia="仿宋_GB2312" w:cs="仿宋_GB2312"/>
                <w:b w:val="0"/>
                <w:kern w:val="2"/>
                <w:sz w:val="24"/>
                <w:szCs w:val="24"/>
                <w:lang w:val="en-US" w:eastAsia="zh-CN" w:bidi="ar-SA"/>
              </w:rPr>
              <w:t>电子商务</w:t>
            </w:r>
          </w:p>
        </w:tc>
        <w:tc>
          <w:tcPr>
            <w:tcW w:w="1723" w:type="dxa"/>
            <w:shd w:val="clear" w:color="auto" w:fill="auto"/>
            <w:vAlign w:val="center"/>
          </w:tcPr>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jc w:val="center"/>
              <w:textAlignment w:val="baseline"/>
              <w:rPr>
                <w:rFonts w:hint="eastAsia" w:ascii="仿宋_GB2312" w:hAnsi="仿宋_GB2312" w:eastAsia="仿宋_GB2312" w:cs="仿宋_GB2312"/>
                <w:b w:val="0"/>
                <w:kern w:val="2"/>
                <w:sz w:val="24"/>
                <w:szCs w:val="24"/>
                <w:lang w:val="en-US" w:eastAsia="zh-CN" w:bidi="ar-SA"/>
              </w:rPr>
            </w:pPr>
            <w:r>
              <w:rPr>
                <w:rFonts w:hint="eastAsia" w:ascii="仿宋_GB2312" w:hAnsi="仿宋_GB2312" w:eastAsia="仿宋_GB2312" w:cs="仿宋_GB2312"/>
                <w:b w:val="0"/>
                <w:kern w:val="2"/>
                <w:sz w:val="24"/>
                <w:szCs w:val="24"/>
                <w:lang w:val="en-US" w:eastAsia="zh-CN" w:bidi="ar-SA"/>
              </w:rPr>
              <w:t>精通电子商务知识/技能，5年以上从业经验</w:t>
            </w:r>
          </w:p>
        </w:tc>
        <w:tc>
          <w:tcPr>
            <w:tcW w:w="1420" w:type="dxa"/>
            <w:shd w:val="clear" w:color="auto" w:fill="auto"/>
            <w:vAlign w:val="center"/>
          </w:tcPr>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jc w:val="center"/>
              <w:textAlignment w:val="baseline"/>
              <w:rPr>
                <w:rFonts w:hint="eastAsia" w:ascii="仿宋_GB2312" w:hAnsi="仿宋_GB2312" w:eastAsia="仿宋_GB2312" w:cs="仿宋_GB2312"/>
                <w:b w:val="0"/>
                <w:kern w:val="2"/>
                <w:sz w:val="24"/>
                <w:szCs w:val="24"/>
                <w:lang w:val="en-US" w:eastAsia="zh-CN" w:bidi="ar-SA"/>
              </w:rPr>
            </w:pPr>
            <w:r>
              <w:rPr>
                <w:rFonts w:hint="eastAsia" w:ascii="仿宋_GB2312" w:hAnsi="仿宋_GB2312" w:eastAsia="仿宋_GB2312" w:cs="仿宋_GB2312"/>
                <w:b w:val="0"/>
                <w:kern w:val="2"/>
                <w:sz w:val="24"/>
                <w:szCs w:val="24"/>
                <w:lang w:val="en-US" w:eastAsia="zh-CN" w:bidi="ar-SA"/>
              </w:rPr>
              <w:t>电子商务类专业教学、执裁经历</w:t>
            </w:r>
          </w:p>
        </w:tc>
        <w:tc>
          <w:tcPr>
            <w:tcW w:w="1907" w:type="dxa"/>
            <w:shd w:val="clear" w:color="auto" w:fill="auto"/>
            <w:vAlign w:val="center"/>
          </w:tcPr>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jc w:val="center"/>
              <w:textAlignment w:val="baseline"/>
              <w:rPr>
                <w:rFonts w:hint="eastAsia" w:ascii="仿宋_GB2312" w:hAnsi="仿宋_GB2312" w:eastAsia="仿宋_GB2312" w:cs="仿宋_GB2312"/>
                <w:b w:val="0"/>
                <w:kern w:val="2"/>
                <w:sz w:val="24"/>
                <w:szCs w:val="24"/>
                <w:lang w:val="en-US" w:eastAsia="zh-CN" w:bidi="ar-SA"/>
              </w:rPr>
            </w:pPr>
            <w:r>
              <w:rPr>
                <w:rFonts w:hint="eastAsia" w:ascii="仿宋_GB2312" w:hAnsi="仿宋_GB2312" w:eastAsia="仿宋_GB2312" w:cs="仿宋_GB2312"/>
                <w:b w:val="0"/>
                <w:kern w:val="2"/>
                <w:sz w:val="24"/>
                <w:szCs w:val="24"/>
                <w:lang w:val="en-US" w:eastAsia="zh-CN" w:bidi="ar-SA"/>
              </w:rPr>
              <w:t>副高及以上专业技术职称或高级技师职业资格</w:t>
            </w:r>
          </w:p>
        </w:tc>
        <w:tc>
          <w:tcPr>
            <w:tcW w:w="779" w:type="dxa"/>
            <w:shd w:val="clear" w:color="auto" w:fill="auto"/>
            <w:vAlign w:val="center"/>
          </w:tcPr>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ind w:firstLine="240" w:firstLineChars="100"/>
              <w:jc w:val="both"/>
              <w:textAlignment w:val="baseline"/>
              <w:rPr>
                <w:rFonts w:hint="eastAsia" w:ascii="仿宋_GB2312" w:hAnsi="仿宋_GB2312" w:eastAsia="仿宋_GB2312" w:cs="仿宋_GB2312"/>
                <w:b w:val="0"/>
                <w:kern w:val="2"/>
                <w:sz w:val="24"/>
                <w:szCs w:val="24"/>
                <w:lang w:val="en-US" w:eastAsia="zh-CN" w:bidi="ar-SA"/>
              </w:rPr>
            </w:pPr>
            <w:r>
              <w:rPr>
                <w:rFonts w:hint="eastAsia" w:ascii="仿宋_GB2312" w:hAnsi="仿宋_GB2312" w:eastAsia="仿宋_GB2312" w:cs="仿宋_GB2312"/>
                <w:b w:val="0"/>
                <w:kern w:val="2"/>
                <w:sz w:val="24"/>
                <w:szCs w:val="24"/>
                <w:lang w:val="en-US" w:eastAsia="zh-CN" w:bidi="ar-SA"/>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9" w:type="dxa"/>
            <w:shd w:val="clear" w:color="auto" w:fill="auto"/>
            <w:vAlign w:val="center"/>
          </w:tcPr>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jc w:val="center"/>
              <w:textAlignment w:val="baseline"/>
              <w:rPr>
                <w:rFonts w:hint="eastAsia" w:ascii="仿宋_GB2312" w:hAnsi="仿宋_GB2312" w:eastAsia="仿宋_GB2312" w:cs="仿宋_GB2312"/>
                <w:b w:val="0"/>
                <w:kern w:val="2"/>
                <w:sz w:val="24"/>
                <w:szCs w:val="24"/>
                <w:lang w:val="en-US" w:eastAsia="zh-CN" w:bidi="ar-SA"/>
              </w:rPr>
            </w:pPr>
            <w:r>
              <w:rPr>
                <w:rFonts w:hint="eastAsia" w:ascii="仿宋_GB2312" w:hAnsi="仿宋_GB2312" w:eastAsia="仿宋_GB2312" w:cs="仿宋_GB2312"/>
                <w:b w:val="0"/>
                <w:kern w:val="2"/>
                <w:sz w:val="24"/>
                <w:szCs w:val="24"/>
                <w:lang w:val="en-US" w:eastAsia="zh-CN" w:bidi="ar-SA"/>
              </w:rPr>
              <w:t>3.评分裁判</w:t>
            </w:r>
          </w:p>
        </w:tc>
        <w:tc>
          <w:tcPr>
            <w:tcW w:w="1416" w:type="dxa"/>
            <w:shd w:val="clear" w:color="auto" w:fill="auto"/>
            <w:vAlign w:val="center"/>
          </w:tcPr>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jc w:val="center"/>
              <w:textAlignment w:val="baseline"/>
              <w:rPr>
                <w:rFonts w:hint="eastAsia" w:ascii="仿宋_GB2312" w:hAnsi="仿宋_GB2312" w:eastAsia="仿宋_GB2312" w:cs="仿宋_GB2312"/>
                <w:b w:val="0"/>
                <w:kern w:val="2"/>
                <w:sz w:val="24"/>
                <w:szCs w:val="24"/>
                <w:lang w:val="en-US" w:eastAsia="zh-CN" w:bidi="ar-SA"/>
              </w:rPr>
            </w:pPr>
            <w:r>
              <w:rPr>
                <w:rFonts w:hint="eastAsia" w:ascii="仿宋_GB2312" w:hAnsi="仿宋_GB2312" w:eastAsia="仿宋_GB2312" w:cs="仿宋_GB2312"/>
                <w:b w:val="0"/>
                <w:kern w:val="2"/>
                <w:sz w:val="24"/>
                <w:szCs w:val="24"/>
                <w:lang w:val="en-US" w:eastAsia="zh-CN" w:bidi="ar-SA"/>
              </w:rPr>
              <w:t>电子商务</w:t>
            </w:r>
          </w:p>
        </w:tc>
        <w:tc>
          <w:tcPr>
            <w:tcW w:w="1723" w:type="dxa"/>
            <w:shd w:val="clear" w:color="auto" w:fill="auto"/>
            <w:vAlign w:val="center"/>
          </w:tcPr>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textAlignment w:val="baseline"/>
              <w:rPr>
                <w:rFonts w:hint="eastAsia" w:ascii="仿宋_GB2312" w:hAnsi="仿宋_GB2312" w:eastAsia="仿宋_GB2312" w:cs="仿宋_GB2312"/>
                <w:b w:val="0"/>
                <w:kern w:val="2"/>
                <w:sz w:val="24"/>
                <w:szCs w:val="24"/>
                <w:lang w:val="en-US" w:eastAsia="zh-CN" w:bidi="ar-SA"/>
              </w:rPr>
            </w:pPr>
            <w:r>
              <w:rPr>
                <w:rFonts w:hint="eastAsia" w:ascii="仿宋_GB2312" w:hAnsi="仿宋_GB2312" w:eastAsia="仿宋_GB2312" w:cs="仿宋_GB2312"/>
                <w:b w:val="0"/>
                <w:kern w:val="2"/>
                <w:sz w:val="24"/>
                <w:szCs w:val="24"/>
                <w:lang w:val="en-US" w:eastAsia="zh-CN" w:bidi="ar-SA"/>
              </w:rPr>
              <w:t>精通电子商务知识/技能，5年以上从业经验</w:t>
            </w:r>
          </w:p>
        </w:tc>
        <w:tc>
          <w:tcPr>
            <w:tcW w:w="1420" w:type="dxa"/>
            <w:shd w:val="clear" w:color="auto" w:fill="auto"/>
            <w:vAlign w:val="center"/>
          </w:tcPr>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textAlignment w:val="baseline"/>
              <w:rPr>
                <w:rFonts w:hint="eastAsia" w:ascii="仿宋_GB2312" w:hAnsi="仿宋_GB2312" w:eastAsia="仿宋_GB2312" w:cs="仿宋_GB2312"/>
                <w:b w:val="0"/>
                <w:kern w:val="2"/>
                <w:sz w:val="24"/>
                <w:szCs w:val="24"/>
                <w:lang w:val="en-US" w:eastAsia="zh-CN" w:bidi="ar-SA"/>
              </w:rPr>
            </w:pPr>
            <w:r>
              <w:rPr>
                <w:rFonts w:hint="eastAsia" w:ascii="仿宋_GB2312" w:hAnsi="仿宋_GB2312" w:eastAsia="仿宋_GB2312" w:cs="仿宋_GB2312"/>
                <w:b w:val="0"/>
                <w:kern w:val="2"/>
                <w:sz w:val="24"/>
                <w:szCs w:val="24"/>
                <w:lang w:val="en-US" w:eastAsia="zh-CN" w:bidi="ar-SA"/>
              </w:rPr>
              <w:t>电子商务类专业教学、执裁经历</w:t>
            </w:r>
          </w:p>
        </w:tc>
        <w:tc>
          <w:tcPr>
            <w:tcW w:w="1907" w:type="dxa"/>
            <w:shd w:val="clear" w:color="auto" w:fill="auto"/>
            <w:vAlign w:val="center"/>
          </w:tcPr>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textAlignment w:val="baseline"/>
              <w:rPr>
                <w:rFonts w:hint="eastAsia" w:ascii="仿宋_GB2312" w:hAnsi="仿宋_GB2312" w:eastAsia="仿宋_GB2312" w:cs="仿宋_GB2312"/>
                <w:b w:val="0"/>
                <w:kern w:val="2"/>
                <w:sz w:val="24"/>
                <w:szCs w:val="24"/>
                <w:lang w:val="en-US" w:eastAsia="zh-CN" w:bidi="ar-SA"/>
              </w:rPr>
            </w:pPr>
            <w:r>
              <w:rPr>
                <w:rFonts w:hint="eastAsia" w:ascii="仿宋_GB2312" w:hAnsi="仿宋_GB2312" w:eastAsia="仿宋_GB2312" w:cs="仿宋_GB2312"/>
                <w:b w:val="0"/>
                <w:kern w:val="2"/>
                <w:sz w:val="24"/>
                <w:szCs w:val="24"/>
                <w:lang w:val="en-US" w:eastAsia="zh-CN" w:bidi="ar-SA"/>
              </w:rPr>
              <w:t>副高及以上专业技术职称或高级技师职业资格</w:t>
            </w:r>
          </w:p>
        </w:tc>
        <w:tc>
          <w:tcPr>
            <w:tcW w:w="779" w:type="dxa"/>
            <w:shd w:val="clear" w:color="auto" w:fill="auto"/>
            <w:vAlign w:val="center"/>
          </w:tcPr>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jc w:val="center"/>
              <w:textAlignment w:val="baseline"/>
              <w:rPr>
                <w:rFonts w:hint="eastAsia" w:ascii="仿宋_GB2312" w:hAnsi="仿宋_GB2312" w:eastAsia="仿宋_GB2312" w:cs="仿宋_GB2312"/>
                <w:b w:val="0"/>
                <w:kern w:val="2"/>
                <w:sz w:val="24"/>
                <w:szCs w:val="24"/>
                <w:lang w:val="en-US" w:eastAsia="zh-CN" w:bidi="ar-SA"/>
              </w:rPr>
            </w:pPr>
            <w:r>
              <w:rPr>
                <w:rFonts w:hint="eastAsia" w:ascii="仿宋_GB2312" w:hAnsi="仿宋_GB2312" w:eastAsia="仿宋_GB2312" w:cs="仿宋_GB2312"/>
                <w:b w:val="0"/>
                <w:kern w:val="2"/>
                <w:sz w:val="24"/>
                <w:szCs w:val="24"/>
                <w:lang w:val="en-US" w:eastAsia="zh-CN" w:bidi="ar-SA"/>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9" w:type="dxa"/>
            <w:tcBorders>
              <w:bottom w:val="single" w:color="auto" w:sz="8" w:space="0"/>
            </w:tcBorders>
            <w:shd w:val="clear" w:color="auto" w:fill="auto"/>
            <w:vAlign w:val="center"/>
          </w:tcPr>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jc w:val="center"/>
              <w:textAlignment w:val="baseline"/>
              <w:rPr>
                <w:rFonts w:hint="eastAsia" w:ascii="仿宋_GB2312" w:hAnsi="仿宋_GB2312" w:eastAsia="仿宋_GB2312" w:cs="仿宋_GB2312"/>
                <w:b w:val="0"/>
                <w:kern w:val="2"/>
                <w:sz w:val="24"/>
                <w:szCs w:val="24"/>
                <w:lang w:val="en-US" w:eastAsia="zh-CN" w:bidi="ar-SA"/>
              </w:rPr>
            </w:pPr>
            <w:r>
              <w:rPr>
                <w:rFonts w:hint="eastAsia" w:ascii="仿宋_GB2312" w:hAnsi="仿宋_GB2312" w:eastAsia="仿宋_GB2312" w:cs="仿宋_GB2312"/>
                <w:b w:val="0"/>
                <w:kern w:val="2"/>
                <w:sz w:val="24"/>
                <w:szCs w:val="24"/>
                <w:lang w:val="en-US" w:eastAsia="zh-CN" w:bidi="ar-SA"/>
              </w:rPr>
              <w:t>裁判总人数</w:t>
            </w:r>
          </w:p>
        </w:tc>
        <w:tc>
          <w:tcPr>
            <w:tcW w:w="7245" w:type="dxa"/>
            <w:gridSpan w:val="5"/>
            <w:tcBorders>
              <w:bottom w:val="single" w:color="auto" w:sz="8" w:space="0"/>
            </w:tcBorders>
            <w:shd w:val="clear" w:color="auto" w:fill="auto"/>
            <w:vAlign w:val="center"/>
          </w:tcPr>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360" w:lineRule="auto"/>
              <w:ind w:firstLine="2640" w:firstLineChars="1100"/>
              <w:textAlignment w:val="baseline"/>
              <w:rPr>
                <w:rFonts w:hint="eastAsia" w:ascii="仿宋_GB2312" w:hAnsi="仿宋_GB2312" w:eastAsia="仿宋_GB2312" w:cs="仿宋_GB2312"/>
                <w:b w:val="0"/>
                <w:kern w:val="2"/>
                <w:sz w:val="24"/>
                <w:szCs w:val="24"/>
                <w:lang w:val="en-US" w:eastAsia="zh-CN" w:bidi="ar-SA"/>
              </w:rPr>
            </w:pPr>
            <w:r>
              <w:rPr>
                <w:rFonts w:hint="eastAsia" w:ascii="仿宋_GB2312" w:hAnsi="仿宋_GB2312" w:eastAsia="仿宋_GB2312" w:cs="仿宋_GB2312"/>
                <w:b w:val="0"/>
                <w:kern w:val="2"/>
                <w:sz w:val="24"/>
                <w:szCs w:val="24"/>
                <w:lang w:val="en-US" w:eastAsia="zh-CN" w:bidi="ar-SA"/>
              </w:rPr>
              <w:t>25</w:t>
            </w:r>
          </w:p>
        </w:tc>
      </w:tr>
    </w:tbl>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before="0" w:after="0" w:line="360" w:lineRule="auto"/>
        <w:ind w:firstLine="560" w:firstLineChars="200"/>
        <w:textAlignment w:val="baseline"/>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2.评分方法：分</w:t>
      </w:r>
      <w:bookmarkStart w:id="6" w:name="_Hlk89277323"/>
      <w:r>
        <w:rPr>
          <w:rFonts w:hint="eastAsia" w:ascii="仿宋_GB2312" w:hAnsi="仿宋_GB2312" w:eastAsia="仿宋_GB2312" w:cs="仿宋_GB2312"/>
          <w:b w:val="0"/>
          <w:kern w:val="2"/>
          <w:sz w:val="28"/>
          <w:szCs w:val="28"/>
          <w:lang w:val="en-US" w:eastAsia="zh-CN" w:bidi="ar-SA"/>
        </w:rPr>
        <w:t>为</w:t>
      </w:r>
      <w:bookmarkEnd w:id="6"/>
      <w:r>
        <w:rPr>
          <w:rFonts w:hint="eastAsia" w:ascii="仿宋_GB2312" w:hAnsi="仿宋_GB2312" w:eastAsia="仿宋_GB2312" w:cs="仿宋_GB2312"/>
          <w:b w:val="0"/>
          <w:kern w:val="2"/>
          <w:sz w:val="28"/>
          <w:szCs w:val="28"/>
          <w:lang w:val="en-US" w:eastAsia="zh-CN" w:bidi="ar-SA"/>
        </w:rPr>
        <w:t>机考评分和结果评分。</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before="0" w:after="0" w:line="360" w:lineRule="auto"/>
        <w:ind w:firstLine="560" w:firstLineChars="200"/>
        <w:textAlignment w:val="baseline"/>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3.成绩产生方法：按100分制计分，由高到低进行排名，如出现总成绩相同的情况，优先以网店运营推广成绩进行排名，若网店运营推广成绩仍相同则按照网店开设装修成绩进行排名。</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before="0" w:after="0" w:line="360" w:lineRule="auto"/>
        <w:ind w:firstLine="560" w:firstLineChars="200"/>
        <w:textAlignment w:val="baseline"/>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4．成绩审核方法：为保障成绩评判的准确性，监督仲裁组将对赛项总成绩排名前30%的所有参赛队的成绩进行复核；对其余成绩进行抽检复核，抽检覆盖率不得低于15%。如发现成绩错误以书面方式及时告知裁判长，由裁判长更正成绩并签字确认。复核、抽检错误率超过5%的，裁判组将对所有成绩进行复核。</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before="0" w:after="0" w:line="360" w:lineRule="auto"/>
        <w:ind w:firstLine="560" w:firstLineChars="200"/>
        <w:textAlignment w:val="baseline"/>
        <w:rPr>
          <w:rFonts w:hint="eastAsia"/>
          <w:lang w:val="en-US" w:eastAsia="zh-CN"/>
        </w:rPr>
      </w:pPr>
      <w:r>
        <w:rPr>
          <w:rFonts w:hint="eastAsia" w:ascii="仿宋_GB2312" w:hAnsi="仿宋_GB2312" w:eastAsia="仿宋_GB2312" w:cs="仿宋_GB2312"/>
          <w:b w:val="0"/>
          <w:kern w:val="2"/>
          <w:sz w:val="28"/>
          <w:szCs w:val="28"/>
          <w:lang w:val="en-US" w:eastAsia="zh-CN" w:bidi="ar-SA"/>
        </w:rPr>
        <w:t>5．成绩公布方法：记分员将解密后的各参赛队伍（选手）成绩汇总成比赛成绩，经裁判长、监督仲裁组签字，公示2 小时且无异议后，公布比赛结果，将赛项总成绩的最终结果录入赛务管理系统，经裁判长、监督仲裁组长在系统导出成绩单上审核签字后，在闭赛式上宣布并颁发证书。</w:t>
      </w:r>
    </w:p>
    <w:p>
      <w:pPr>
        <w:pStyle w:val="3"/>
        <w:bidi w:val="0"/>
        <w:rPr>
          <w:b w:val="0"/>
          <w:bCs/>
        </w:rPr>
      </w:pPr>
      <w:r>
        <w:rPr>
          <w:rFonts w:hint="eastAsia"/>
          <w:b w:val="0"/>
          <w:bCs/>
        </w:rPr>
        <w:t>十二、奖项设置</w:t>
      </w:r>
    </w:p>
    <w:p>
      <w:pPr>
        <w:keepNext w:val="0"/>
        <w:keepLines w:val="0"/>
        <w:pageBreakBefore w:val="0"/>
        <w:kinsoku/>
        <w:wordWrap/>
        <w:overflowPunct/>
        <w:topLinePunct w:val="0"/>
        <w:autoSpaceDE/>
        <w:autoSpaceDN/>
        <w:bidi w:val="0"/>
        <w:adjustRightInd/>
        <w:snapToGrid/>
        <w:spacing w:line="360" w:lineRule="auto"/>
        <w:ind w:right="210" w:rightChars="100" w:firstLine="280" w:firstLineChars="1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（一）设团体一、二、三等奖，以赛项实际参赛队总数为基数，一、二、三等奖获奖比例分别为10%、20%、30%（小数点后四舍五入）。</w:t>
      </w:r>
    </w:p>
    <w:p>
      <w:pPr>
        <w:keepNext w:val="0"/>
        <w:keepLines w:val="0"/>
        <w:pageBreakBefore w:val="0"/>
        <w:kinsoku/>
        <w:wordWrap/>
        <w:overflowPunct/>
        <w:topLinePunct w:val="0"/>
        <w:autoSpaceDE/>
        <w:autoSpaceDN/>
        <w:bidi w:val="0"/>
        <w:adjustRightInd/>
        <w:snapToGrid/>
        <w:spacing w:line="360" w:lineRule="auto"/>
        <w:ind w:right="210" w:rightChars="100" w:firstLine="280" w:firstLineChars="1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（二）获得一等奖的参赛队指导教师由组委会颁发优秀指导教师证书。</w:t>
      </w:r>
    </w:p>
    <w:p>
      <w:pPr>
        <w:pStyle w:val="2"/>
        <w:keepNext w:val="0"/>
        <w:keepLines w:val="0"/>
        <w:pageBreakBefore w:val="0"/>
        <w:numPr>
          <w:ilvl w:val="0"/>
          <w:numId w:val="0"/>
        </w:numPr>
        <w:kinsoku/>
        <w:wordWrap/>
        <w:topLinePunct w:val="0"/>
        <w:bidi w:val="0"/>
        <w:snapToGrid/>
        <w:spacing w:line="360" w:lineRule="auto"/>
        <w:ind w:firstLine="280" w:firstLineChars="100"/>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（三）本赛项不存在最终成绩排名并列的情况。</w:t>
      </w:r>
    </w:p>
    <w:p>
      <w:pPr>
        <w:pStyle w:val="3"/>
        <w:bidi w:val="0"/>
        <w:rPr>
          <w:rFonts w:hint="eastAsia"/>
          <w:b w:val="0"/>
          <w:bCs/>
        </w:rPr>
      </w:pPr>
      <w:r>
        <w:rPr>
          <w:rFonts w:hint="eastAsia"/>
          <w:b w:val="0"/>
          <w:bCs/>
        </w:rPr>
        <w:t>十三、赛项预案</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280" w:firstLineChars="1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（一）非正常停电</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竞赛现场如出现突然非正常停电的，按下述步骤进行处理：</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1.裁判员提示参赛选手，工作人员提示观摩人员要保持镇静，防止踩踏事件发生；</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2.裁判员提示参赛选手在电源保护装置的有效时间内备份计算机操作数据，并等候处理决定；</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3.必要时，保卫人员开启安全通道，有序疏散现场人员离场；</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4.裁判长视情况决定启动备用电源或延迟竞赛。</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5.现场电力恢复后，由裁判组集体商定根据竞赛内容特点的不同可采用继续比赛、顺延比赛时间、重赛等处理办法。</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280" w:firstLineChars="1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（二）竞赛设备故障</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 xml:space="preserve">竞赛过程中，如遇竞赛设备故障，按下列程序报告并处理： </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1.参赛选手持“故障”示意牌示意，说明故障现象，裁判员、技术员等应及时予以解决。</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2.确因设备无法继续操作，经由裁判员提出申请，报裁判长批准后，予以启用备用设备。</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3.竞赛设置了关键节点的自动备份功能，裁判长根据实际情况授权工作人员恢复备份数据。</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4.数据恢复正常后，由裁判组商定根据竞赛内容特点的不同可采用继续比赛、顺延比赛时间、重赛等处理办法。</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280" w:firstLineChars="1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（三）参赛选手发生意外受伤或急病等情况</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应按下列步骤进行处理：</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1.参赛选手持“医务”示意牌示意；</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2.现场医务人员迅速到达现场，救治或急送最近医院进行救治。</w:t>
      </w:r>
    </w:p>
    <w:p>
      <w:pPr>
        <w:pStyle w:val="3"/>
        <w:bidi w:val="0"/>
        <w:rPr>
          <w:b w:val="0"/>
          <w:bCs/>
        </w:rPr>
      </w:pPr>
      <w:r>
        <w:rPr>
          <w:rFonts w:hint="eastAsia"/>
          <w:b w:val="0"/>
          <w:bCs/>
        </w:rPr>
        <w:t>十四、竞赛须知</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280" w:firstLineChars="1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（一）参赛队须知</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1.参赛队名称统一使用规定的地区代表队名称，不接受跨校组队报名。</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2.参赛队按照大赛赛程安排，凭大赛组委会颁发的参赛证和有效身份证件参加比赛及相关活动。</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3.参赛队员需要购买保险。</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280" w:firstLineChars="1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（二）指导教师须知</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 xml:space="preserve">1.指导教师应该根据专业教学计划和赛项规程合理制定训练方案，认真指导选手训练，培养选手的综合职业能力和良好的职业素养，克服功利化思想。 </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2.指导教师应该根据赛项规程要求做好参赛选手保险办理工作，并积极做好选手的安全教育。</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 xml:space="preserve">3.指导教师参加赛项观摩等活动，不得违反赛项规定进入赛场，干扰比赛正常进行。 </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4.指导教师应自觉遵守大赛各项制度，尊重专家、裁判、监督仲裁及工作人员。要引导和教育参赛选手对于认为有影响个人比赛成绩的裁判行为或设备故障，按照赛项指南规定和大赛制度与裁判、工作人员进行充分沟通或赛后提出申诉，不得在网络、微信群等各种媒体发表、传播有待核实信息和过激言论。对比赛过程中的争议问题，要按大赛制度规定程序处理，不得采取过激行为。</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280" w:firstLineChars="1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（三）参赛选手须知</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 xml:space="preserve">1.参赛选手应当文明参赛，服从裁判统一指挥，尊重赛场工作人员，自觉维护赛场秩序。如参赛选手因对裁判不服从而停止比赛，则以弃权处理。 </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 xml:space="preserve">2.参赛选手须严格遵守竞赛规程规定的安全操作流程，防止发生安全事故。 </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 xml:space="preserve">3.参赛选手应该爱护赛场使用的设备、仪器等，不得人为损坏比赛所使用的仪器设备。 </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4.参赛选手须严格按照规定时间进入候考区和比赛场地，不允许携带任何竞赛规程禁止使用的电子产品及通讯工具，以及其它与竞赛有关的资料和书籍，不得以任何方式泄露参赛院校、选手姓名等涉及竞赛场上应该保密的信息。</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5.参赛选手对于认为有影响个人比赛成绩的裁判行为或设备故障等，应向指导老师反映，由指导老师按大赛制度规定进行申诉。参赛选手不得发布与比赛相关的虚假信息和不当言论。</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280" w:firstLineChars="1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（四）工作人员须知</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1.工作人员必须统一佩戴由大赛组委会签发的相应证件，着装整齐。</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2.工作人员不得影响参赛选手比赛，不允许有影响比赛公平的行为。</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3.服从领导，听从指挥，以高度负责的精神、严肃认真的态度做好各项工作。</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4.熟悉比赛规程，认真遵守各项比赛规则和工作要求。</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5.坚守岗位，如有急事需要离开岗位时，应经领导同意，并做好工作衔接。</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6.严格遵守比赛纪律，如发现其他人员有违反比赛纪律的行为，应予以制止。情节严重的，应向竞赛组委会反映。</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7.发扬无私奉献和团结协作的精神，提供热情、优质服务。</w:t>
      </w:r>
    </w:p>
    <w:p>
      <w:pPr>
        <w:pStyle w:val="3"/>
        <w:bidi w:val="0"/>
        <w:rPr>
          <w:b w:val="0"/>
          <w:bCs/>
        </w:rPr>
      </w:pPr>
      <w:r>
        <w:rPr>
          <w:rFonts w:hint="eastAsia"/>
          <w:b w:val="0"/>
          <w:bCs/>
        </w:rPr>
        <w:t>十五、申诉与仲裁</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本赛项在比赛过程中若出现有失公正或有关人员违规等现象，代表队领队可在比赛结束后（选手赛场比赛内容全部完成）2小时之内向仲裁组提出书面申诉。超过时效不予受理。大赛采取二级仲裁机制。赛项设赛项监督仲裁工作组。赛项监督仲裁工作组在接到申诉报告后的 2 小时内组织复议，并及时将复议结果以书面形式告知申诉方。申诉方对复议结果仍有异议，可由省、自治区、直辖市、新疆生产建设兵团领队向赛区仲裁委员会提出申诉。赛区仲裁委员会的仲裁结果为最终结果。</w:t>
      </w:r>
    </w:p>
    <w:p>
      <w:pPr>
        <w:pStyle w:val="3"/>
        <w:bidi w:val="0"/>
        <w:rPr>
          <w:b w:val="0"/>
          <w:bCs/>
        </w:rPr>
      </w:pPr>
      <w:r>
        <w:rPr>
          <w:rFonts w:hint="eastAsia"/>
          <w:b w:val="0"/>
          <w:bCs/>
        </w:rPr>
        <w:t>十六、竞赛观摩</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竞赛设定观摩区域和参观路线，向媒体、企业代表、院校师生及家长等社会公众开放，不允许有大声喧哗等影响参赛选手竞赛的行为发生。指导教师不能进入赛场内指导，可以在指定区域观摩，赛场外设立展览展示区域。</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为保证大赛顺利进行，在观摩期间应遵循以下规则：</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1.除与竞赛直接有关工作人员、裁判员、参赛选手外，其余人员均为观摩观众。</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2.请勿在选手准备或比赛中交谈或欢呼；请勿对选手打手势，包括哑语沟通等明示、暗示行为，禁止鼓掌喝彩等发出声音的行为。</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3.请勿在观摩赛场地内使用相机、摄影机等一切对比赛正常进行造成干扰的带有闪光灯及快门音的设备。</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4.不得违反全国职业院校技能大赛规定的各项纪律。请站在规划的观摩席或者安全线以外观看比赛，并遵循赛场内工作人员和竞赛裁判人员的指挥，不得有围攻裁判员、选手或者其他工作人员的行为。</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lang w:val="en-US" w:eastAsia="zh-CN"/>
        </w:rPr>
      </w:pPr>
      <w:r>
        <w:rPr>
          <w:rFonts w:hint="eastAsia" w:ascii="仿宋_GB2312" w:hAnsi="仿宋_GB2312" w:eastAsia="仿宋_GB2312" w:cs="仿宋_GB2312"/>
          <w:b w:val="0"/>
          <w:kern w:val="2"/>
          <w:sz w:val="28"/>
          <w:szCs w:val="28"/>
          <w:lang w:val="en-US" w:eastAsia="zh-CN" w:bidi="ar-SA"/>
        </w:rPr>
        <w:t>5.请务必保持赛场清洁，将饮料食品包装及其他杂物扔进垃圾箱。</w:t>
      </w:r>
    </w:p>
    <w:p>
      <w:pPr>
        <w:pStyle w:val="3"/>
        <w:bidi w:val="0"/>
        <w:rPr>
          <w:b w:val="0"/>
          <w:bCs/>
        </w:rPr>
      </w:pPr>
      <w:r>
        <w:rPr>
          <w:rFonts w:hint="eastAsia"/>
          <w:b w:val="0"/>
          <w:bCs/>
        </w:rPr>
        <w:t>十七、竞赛直播</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1.赛场内部署录像设备，能实时录制赛场情况；</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2.在不影响比赛前提下，使用直播设备对比赛全过程进行网络直播。</w:t>
      </w:r>
    </w:p>
    <w:p>
      <w:pPr>
        <w:pStyle w:val="3"/>
        <w:bidi w:val="0"/>
        <w:rPr>
          <w:b w:val="0"/>
          <w:bCs/>
        </w:rPr>
      </w:pPr>
      <w:r>
        <w:rPr>
          <w:rFonts w:hint="eastAsia"/>
          <w:b w:val="0"/>
          <w:bCs/>
        </w:rPr>
        <w:t>十八、</w:t>
      </w:r>
      <w:r>
        <w:rPr>
          <w:b w:val="0"/>
          <w:bCs/>
        </w:rPr>
        <w:t>赛项成果</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（一）资源转化工作</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教学资源转化工作由赛项执委会负责，组建赛项资源转化小组，邀请行业、企业及院校的顾问专家参与，召开建设研讨会，构建总体框架。组织任务分配协调会，落实转化任务、人员安排与资金分配等问题，确保有序、优质开展。</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（二）资源转化成果</w:t>
      </w:r>
    </w:p>
    <w:p>
      <w:pPr>
        <w:pStyle w:val="2"/>
        <w:numPr>
          <w:ilvl w:val="0"/>
          <w:numId w:val="0"/>
        </w:numPr>
        <w:ind w:firstLine="480" w:firstLineChars="200"/>
        <w:jc w:val="center"/>
        <w:rPr>
          <w:rFonts w:hint="eastAsia" w:ascii="黑体" w:hAnsi="黑体" w:eastAsia="黑体" w:cs="黑体"/>
          <w:sz w:val="24"/>
          <w:szCs w:val="24"/>
          <w:lang w:val="en-US" w:eastAsia="zh-CN"/>
        </w:rPr>
      </w:pPr>
      <w:r>
        <w:rPr>
          <w:rFonts w:hint="eastAsia" w:ascii="黑体" w:hAnsi="黑体" w:eastAsia="黑体" w:cs="黑体"/>
          <w:b w:val="0"/>
          <w:kern w:val="2"/>
          <w:sz w:val="24"/>
          <w:szCs w:val="24"/>
          <w:lang w:val="en-US" w:eastAsia="zh-CN" w:bidi="ar-SA"/>
        </w:rPr>
        <w:t>表18-1 资源转化成果</w:t>
      </w:r>
    </w:p>
    <w:tbl>
      <w:tblPr>
        <w:tblStyle w:val="10"/>
        <w:tblW w:w="8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970"/>
        <w:gridCol w:w="1520"/>
        <w:gridCol w:w="1540"/>
        <w:gridCol w:w="1160"/>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3771"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内容</w:t>
            </w:r>
          </w:p>
        </w:tc>
        <w:tc>
          <w:tcPr>
            <w:tcW w:w="444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3771"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bCs/>
                <w:sz w:val="24"/>
                <w:szCs w:val="24"/>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网店开设装修</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网店运营推广</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直播销售与网店客户服务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377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教材资源</w:t>
            </w: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28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基本资源</w:t>
            </w:r>
          </w:p>
        </w:tc>
        <w:tc>
          <w:tcPr>
            <w:tcW w:w="97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风采展示</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赛项宣传片</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（15分钟）</w:t>
            </w:r>
          </w:p>
        </w:tc>
        <w:tc>
          <w:tcPr>
            <w:tcW w:w="444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28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p>
        </w:tc>
        <w:tc>
          <w:tcPr>
            <w:tcW w:w="9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风采展示片</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（10分钟）</w:t>
            </w:r>
          </w:p>
        </w:tc>
        <w:tc>
          <w:tcPr>
            <w:tcW w:w="444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28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p>
        </w:tc>
        <w:tc>
          <w:tcPr>
            <w:tcW w:w="97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技能概要</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技能介绍</w:t>
            </w: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p>
        </w:tc>
        <w:tc>
          <w:tcPr>
            <w:tcW w:w="9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技能要点</w:t>
            </w: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p>
        </w:tc>
        <w:tc>
          <w:tcPr>
            <w:tcW w:w="9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评价指标</w:t>
            </w: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p>
        </w:tc>
        <w:tc>
          <w:tcPr>
            <w:tcW w:w="97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教学资源</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教学方案</w:t>
            </w: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p>
        </w:tc>
        <w:tc>
          <w:tcPr>
            <w:tcW w:w="9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训练指导</w:t>
            </w: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p>
        </w:tc>
        <w:tc>
          <w:tcPr>
            <w:tcW w:w="9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作业/任务</w:t>
            </w: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p>
        </w:tc>
        <w:tc>
          <w:tcPr>
            <w:tcW w:w="9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实训/实习</w:t>
            </w: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拓展资源</w:t>
            </w:r>
          </w:p>
        </w:tc>
        <w:tc>
          <w:tcPr>
            <w:tcW w:w="97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评点视频</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专家</w:t>
            </w: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p>
        </w:tc>
        <w:tc>
          <w:tcPr>
            <w:tcW w:w="9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裁判</w:t>
            </w: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p>
        </w:tc>
        <w:tc>
          <w:tcPr>
            <w:tcW w:w="9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企业</w:t>
            </w: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p>
        </w:tc>
        <w:tc>
          <w:tcPr>
            <w:tcW w:w="97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访谈视频</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学生</w:t>
            </w: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p>
        </w:tc>
        <w:tc>
          <w:tcPr>
            <w:tcW w:w="9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教师</w:t>
            </w: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p>
        </w:tc>
        <w:tc>
          <w:tcPr>
            <w:tcW w:w="9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试题库</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赛卷</w:t>
            </w:r>
          </w:p>
        </w:tc>
        <w:tc>
          <w:tcPr>
            <w:tcW w:w="444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p>
        </w:tc>
        <w:tc>
          <w:tcPr>
            <w:tcW w:w="9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案例库</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案例</w:t>
            </w: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p>
        </w:tc>
        <w:tc>
          <w:tcPr>
            <w:tcW w:w="97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素材资源库</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微课</w:t>
            </w: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8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p>
        </w:tc>
        <w:tc>
          <w:tcPr>
            <w:tcW w:w="9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动画</w:t>
            </w: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r>
    </w:tbl>
    <w:p>
      <w:pPr>
        <w:jc w:val="center"/>
        <w:rPr>
          <w:rFonts w:ascii="仿宋_GB2312" w:hAnsi="仿宋_GB2312" w:eastAsia="仿宋_GB2312" w:cs="仿宋_GB2312"/>
          <w:szCs w:val="20"/>
        </w:rPr>
      </w:pP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280" w:firstLineChars="1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（三）技术标准</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资源转化成果可包含文本文档、演示文稿、视频文件、Flash文件、图形/图像素材和网页型资源等：</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1.文本文档</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采用＊.doc或＊.docx格式。文件制作所使用的软件wps office 最新版或不低于Microsoft Office 2003的版本。</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2.演示文稿</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采用＊.ppt或＊.pptx格式。文件制作所使用wps office 最新版或版本不低于Microsoft Office 2003。播放时不出现宏脚本提示。</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3.视频文件</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采用MP4格式。录像环境光线充足、安静，衣着得体，语音清晰。</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（1）视频压缩采用H.264（MPEG-4 Part10：profile=main, level=3.0）编码方式，码流率256 Kbps以上，帧率不低于25 fps，分辨率不低于720×576（4:3）或1024×576（16:9）。</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（2）声音和画面要求同步，无交流声或其他杂音等缺陷，无明显失真，保证优良的声音质量，解说声与现场声、背景音乐无明显比例失调。音频信噪比不低于48dB。</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（3）字幕要使用符合国家标准的规范字，不出现繁体字、异体字、错别字；字幕与画面、解说词、音乐配合适当。</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4.Flash文件</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文件制作所使用的软件版本不低于Flash 6.0。</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5.图形/图像素材</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采用常见存储格式，如＊.gif、＊.png、＊.jpg等。彩色图像颜色数不低于真彩（24位色），灰度图像的灰度级不低于256级，屏幕分辨率不低于1024×768时，扫描图像的扫描分辨率不低于72 dpi。</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6.网页型资源</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采用HTML5编码。兼容Microsoft IE、Google Chrome、Mozilla Firefox浏览器。避免出现大量的垃圾代码，使用网页编辑工具编辑网页，不可直接将Microsoft Word、WPS等文件内容粘贴到网页文件中。</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280" w:firstLineChars="1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（四）转化计划</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1.团队组建与总体设计（2023.9-2023.10）</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组建赛项资源转化小组，邀请行业、企业及院校的顾问专家参与，召开建设研讨会，构建总体框架。组织任务分配协调会，落实建设任务、人员安排与资金分配等问题，确保有序、优质开展。</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2.基本资源、拓展资源及平台开发（2023.10-2023.11）</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开发视频、图片、动画、仿真软件等基本资源和拓展资源。按照“以赛促建、以赛促学、以赛促训”基本要求，建设具有开放性和普适性的服务平台。</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3.资源修改导入及平台运行调试阶段（2023.11-2023.12）</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组织专家评审小组，提出修改意见，形成资源集成平台，并与用户服务平台整合对接，完成资源导入，试运行并调试平台。</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4.推广应用更新完善阶段（2024.1）</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按照以用促建、共建共享、开放建设、动态更新的原则，提供培训等服务，解决全国高职院校共性需求，实现优质教学资源共享。沿着“设计—建设</w:t>
      </w:r>
      <w:bookmarkStart w:id="7" w:name="_GoBack"/>
      <w:bookmarkEnd w:id="7"/>
      <w:r>
        <w:rPr>
          <w:rFonts w:hint="eastAsia" w:ascii="仿宋_GB2312" w:hAnsi="仿宋_GB2312" w:eastAsia="仿宋_GB2312" w:cs="仿宋_GB2312"/>
          <w:b w:val="0"/>
          <w:kern w:val="2"/>
          <w:sz w:val="28"/>
          <w:szCs w:val="28"/>
          <w:lang w:val="en-US" w:eastAsia="zh-CN" w:bidi="ar-SA"/>
        </w:rPr>
        <w:t>—运行—反馈—更新”的系统化运作路径，制定修正方案。进一步做精做深资源内容，持续更新教学资源，逐步淘汰老、旧资源，每年更新比例不低于10%，从而确保资源库的可持续健康发展。</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280" w:firstLineChars="1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（五）提交方式</w:t>
      </w:r>
    </w:p>
    <w:p>
      <w:pPr>
        <w:keepNext w:val="0"/>
        <w:keepLines w:val="0"/>
        <w:pageBreakBefore w:val="0"/>
        <w:widowControl w:val="0"/>
        <w:kinsoku/>
        <w:wordWrap/>
        <w:overflowPunct/>
        <w:topLinePunct w:val="0"/>
        <w:autoSpaceDE/>
        <w:autoSpaceDN/>
        <w:bidi w:val="0"/>
        <w:adjustRightInd/>
        <w:snapToGrid/>
        <w:spacing w:line="360" w:lineRule="auto"/>
        <w:ind w:left="559" w:leftChars="266" w:right="210" w:rightChars="100" w:firstLine="0" w:firstLineChars="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制作完成的资源上传至大赛指定的网络信息管理平台：www.chinaskills-jsw.org。</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280" w:firstLineChars="1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（六）版权归属</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各赛项执委会组织的公开技能比赛，其赛项资源转化成果的版权由技能大赛执委会和赛项执委会共享。</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280" w:firstLineChars="1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（七）使用与管理</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left"/>
        <w:textAlignment w:val="auto"/>
        <w:rPr>
          <w:rFonts w:hint="eastAsia" w:ascii="仿宋_GB2312" w:hAnsi="仿宋_GB2312" w:eastAsia="仿宋_GB2312" w:cs="仿宋_GB2312"/>
          <w:b w:val="0"/>
          <w:kern w:val="2"/>
          <w:sz w:val="28"/>
          <w:szCs w:val="28"/>
          <w:lang w:val="en-US" w:eastAsia="zh-CN" w:bidi="ar-SA"/>
        </w:rPr>
      </w:pPr>
      <w:r>
        <w:rPr>
          <w:rFonts w:hint="eastAsia" w:ascii="仿宋_GB2312" w:hAnsi="仿宋_GB2312" w:eastAsia="仿宋_GB2312" w:cs="仿宋_GB2312"/>
          <w:b w:val="0"/>
          <w:kern w:val="2"/>
          <w:sz w:val="28"/>
          <w:szCs w:val="28"/>
          <w:lang w:val="en-US" w:eastAsia="zh-CN" w:bidi="ar-SA"/>
        </w:rPr>
        <w:t>赛项资源转化成果由大赛执委会统一推广实施，会同赛项有关专家、赛项承办单位，编辑出版有关赛项试题库、岗位典型操作流程等精品资源。成熟的资源转化成果发布于全国大赛网络信息发布平台，供职业院校师生借鉴学习。</w:t>
      </w:r>
    </w:p>
    <w:p>
      <w:pPr>
        <w:pStyle w:val="2"/>
        <w:ind w:left="0" w:leftChars="0" w:firstLine="0" w:firstLineChars="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836C559C-2815-4A3E-B2EA-0B16A6C4D006}"/>
  </w:font>
  <w:font w:name="黑体">
    <w:panose1 w:val="02010609060101010101"/>
    <w:charset w:val="86"/>
    <w:family w:val="auto"/>
    <w:pitch w:val="default"/>
    <w:sig w:usb0="800002BF" w:usb1="38CF7CFA" w:usb2="00000016" w:usb3="00000000" w:csb0="00040001" w:csb1="00000000"/>
    <w:embedRegular r:id="rId2" w:fontKey="{78470EE6-DCAB-45A8-B04C-7AD00C839B9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ED526764-DB98-4FA0-8DCD-7C0E6205B3D4}"/>
  </w:font>
  <w:font w:name="Book Antiqua">
    <w:panose1 w:val="02040602050305030304"/>
    <w:charset w:val="00"/>
    <w:family w:val="roman"/>
    <w:pitch w:val="default"/>
    <w:sig w:usb0="00000287" w:usb1="00000000" w:usb2="00000000" w:usb3="00000000" w:csb0="2000009F" w:csb1="DFD70000"/>
  </w:font>
  <w:font w:name="方正小标宋简体">
    <w:panose1 w:val="02000000000000000000"/>
    <w:charset w:val="86"/>
    <w:family w:val="auto"/>
    <w:pitch w:val="default"/>
    <w:sig w:usb0="00000001" w:usb1="08000000" w:usb2="00000000" w:usb3="00000000" w:csb0="00040000" w:csb1="00000000"/>
    <w:embedRegular r:id="rId4" w:fontKey="{9441780C-F746-4ADB-8E6D-CCB1A6EF5237}"/>
  </w:font>
  <w:font w:name="仿宋_GB2312">
    <w:panose1 w:val="02010609030101010101"/>
    <w:charset w:val="86"/>
    <w:family w:val="modern"/>
    <w:pitch w:val="default"/>
    <w:sig w:usb0="00000001" w:usb1="080E0000" w:usb2="00000000" w:usb3="00000000" w:csb0="00040000" w:csb1="00000000"/>
    <w:embedRegular r:id="rId5" w:fontKey="{8027EE5A-B04C-42C1-84A0-C5FFBB8910F9}"/>
  </w:font>
  <w:font w:name="Wingdings 2">
    <w:panose1 w:val="05020102010507070707"/>
    <w:charset w:val="02"/>
    <w:family w:val="roman"/>
    <w:pitch w:val="default"/>
    <w:sig w:usb0="00000000" w:usb1="00000000" w:usb2="00000000" w:usb3="00000000" w:csb0="80000000" w:csb1="00000000"/>
    <w:embedRegular r:id="rId6" w:fontKey="{B833B633-C193-4443-8E8F-2DCBDB8000AE}"/>
  </w:font>
  <w:font w:name="楷体">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lOWE4N2I1Y2IwYzY2YjM1MDZhYTBjMjk5YmQ0OGYifQ=="/>
  </w:docVars>
  <w:rsids>
    <w:rsidRoot w:val="622A36E7"/>
    <w:rsid w:val="01233A9E"/>
    <w:rsid w:val="04F642DE"/>
    <w:rsid w:val="055204AE"/>
    <w:rsid w:val="05537D0A"/>
    <w:rsid w:val="05B44CC5"/>
    <w:rsid w:val="07C043E8"/>
    <w:rsid w:val="08F655F4"/>
    <w:rsid w:val="0BA17A99"/>
    <w:rsid w:val="0C324B95"/>
    <w:rsid w:val="0C8573BB"/>
    <w:rsid w:val="0DA11FD2"/>
    <w:rsid w:val="0E9262B2"/>
    <w:rsid w:val="11FC3C7B"/>
    <w:rsid w:val="12661A3D"/>
    <w:rsid w:val="1331204B"/>
    <w:rsid w:val="13785584"/>
    <w:rsid w:val="13B8313D"/>
    <w:rsid w:val="14737768"/>
    <w:rsid w:val="15135779"/>
    <w:rsid w:val="17321EED"/>
    <w:rsid w:val="194F4FD8"/>
    <w:rsid w:val="1A07140F"/>
    <w:rsid w:val="1B3A769E"/>
    <w:rsid w:val="1EFF4C2E"/>
    <w:rsid w:val="1F8D70FD"/>
    <w:rsid w:val="202D5948"/>
    <w:rsid w:val="237D4370"/>
    <w:rsid w:val="23B343B6"/>
    <w:rsid w:val="24212BF2"/>
    <w:rsid w:val="244A1145"/>
    <w:rsid w:val="25140E84"/>
    <w:rsid w:val="254479BB"/>
    <w:rsid w:val="28B906C0"/>
    <w:rsid w:val="2A961358"/>
    <w:rsid w:val="2B487ADA"/>
    <w:rsid w:val="2B8C79C6"/>
    <w:rsid w:val="2BA25857"/>
    <w:rsid w:val="2C42277B"/>
    <w:rsid w:val="2C4B7881"/>
    <w:rsid w:val="2C8132A3"/>
    <w:rsid w:val="2D053ED4"/>
    <w:rsid w:val="2DCE7B02"/>
    <w:rsid w:val="2DD83397"/>
    <w:rsid w:val="2E56250D"/>
    <w:rsid w:val="301937F3"/>
    <w:rsid w:val="31864EB8"/>
    <w:rsid w:val="31A87524"/>
    <w:rsid w:val="35E90D57"/>
    <w:rsid w:val="36CC15BF"/>
    <w:rsid w:val="38044D88"/>
    <w:rsid w:val="38673C95"/>
    <w:rsid w:val="397228F1"/>
    <w:rsid w:val="397B107A"/>
    <w:rsid w:val="3A121F97"/>
    <w:rsid w:val="3BD66A3C"/>
    <w:rsid w:val="3C577B7C"/>
    <w:rsid w:val="3F5900B0"/>
    <w:rsid w:val="413D3F4E"/>
    <w:rsid w:val="48164D90"/>
    <w:rsid w:val="497F0713"/>
    <w:rsid w:val="4E2D2E33"/>
    <w:rsid w:val="4E850579"/>
    <w:rsid w:val="4FF83023"/>
    <w:rsid w:val="51450494"/>
    <w:rsid w:val="54BA187B"/>
    <w:rsid w:val="556C4241"/>
    <w:rsid w:val="563B3C13"/>
    <w:rsid w:val="56F40F4D"/>
    <w:rsid w:val="57272B15"/>
    <w:rsid w:val="5886386C"/>
    <w:rsid w:val="58D520FD"/>
    <w:rsid w:val="5A3D61AC"/>
    <w:rsid w:val="5B084A0C"/>
    <w:rsid w:val="5BCA3A6F"/>
    <w:rsid w:val="5C090A3C"/>
    <w:rsid w:val="5CAA50FB"/>
    <w:rsid w:val="5DF72B16"/>
    <w:rsid w:val="5E6108B9"/>
    <w:rsid w:val="5FF4555F"/>
    <w:rsid w:val="60AF592A"/>
    <w:rsid w:val="61493864"/>
    <w:rsid w:val="622A36E7"/>
    <w:rsid w:val="650E0E71"/>
    <w:rsid w:val="67094048"/>
    <w:rsid w:val="678216A2"/>
    <w:rsid w:val="681430FA"/>
    <w:rsid w:val="6B8478B1"/>
    <w:rsid w:val="6C4537CF"/>
    <w:rsid w:val="6D5E04BB"/>
    <w:rsid w:val="6EDF73DA"/>
    <w:rsid w:val="70D127C9"/>
    <w:rsid w:val="71632544"/>
    <w:rsid w:val="71B40FF2"/>
    <w:rsid w:val="71BC7EA6"/>
    <w:rsid w:val="726061A0"/>
    <w:rsid w:val="72D761FB"/>
    <w:rsid w:val="742A10F7"/>
    <w:rsid w:val="76593F16"/>
    <w:rsid w:val="7CCD2F68"/>
    <w:rsid w:val="7CE56503"/>
    <w:rsid w:val="7D625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link w:val="13"/>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4"/>
    <w:basedOn w:val="1"/>
    <w:next w:val="1"/>
    <w:unhideWhenUsed/>
    <w:qFormat/>
    <w:uiPriority w:val="0"/>
    <w:pPr>
      <w:keepNext/>
      <w:keepLines/>
      <w:spacing w:before="28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widowControl/>
      <w:overflowPunct w:val="0"/>
      <w:autoSpaceDE w:val="0"/>
      <w:autoSpaceDN w:val="0"/>
      <w:adjustRightInd w:val="0"/>
      <w:spacing w:before="120" w:after="120"/>
      <w:ind w:left="2552"/>
      <w:jc w:val="left"/>
      <w:textAlignment w:val="baseline"/>
    </w:pPr>
    <w:rPr>
      <w:rFonts w:ascii="Book Antiqua" w:hAnsi="Book Antiqua"/>
      <w:kern w:val="0"/>
      <w:szCs w:val="20"/>
    </w:rPr>
  </w:style>
  <w:style w:type="paragraph" w:styleId="5">
    <w:name w:val="annotation text"/>
    <w:basedOn w:val="1"/>
    <w:qFormat/>
    <w:uiPriority w:val="0"/>
    <w:pPr>
      <w:jc w:val="left"/>
    </w:pPr>
    <w:rPr>
      <w:rFonts w:ascii="Times New Roman" w:hAnsi="Times New Roman" w:eastAsiaTheme="minorEastAsia" w:cstheme="minorBidi"/>
    </w:rPr>
  </w:style>
  <w:style w:type="paragraph" w:styleId="6">
    <w:name w:val="Body Text Indent"/>
    <w:basedOn w:val="1"/>
    <w:unhideWhenUsed/>
    <w:qFormat/>
    <w:uiPriority w:val="99"/>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2"/>
    <w:basedOn w:val="6"/>
    <w:next w:val="1"/>
    <w:unhideWhenUsed/>
    <w:qFormat/>
    <w:uiPriority w:val="99"/>
    <w:pPr>
      <w:ind w:firstLine="420" w:firstLineChars="200"/>
    </w:p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3">
    <w:name w:val="标题 2 Char"/>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48</Pages>
  <Words>19088</Words>
  <Characters>20196</Characters>
  <DocSecurity>0</DocSecurity>
  <Lines>0</Lines>
  <Paragraphs>0</Paragraphs>
  <ScaleCrop>false</ScaleCrop>
  <LinksUpToDate>false</LinksUpToDate>
  <CharactersWithSpaces>20337</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2023-04-13T11:21:00Z</dcterms:created>
  <dcterms:modified xsi:type="dcterms:W3CDTF">2023-04-17T12:20:42Z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FD9AA2175C7640D2B72DFF1A4280B062_13</vt:lpwstr>
  </property>
</Properties>
</file>